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#9</w:t>
      </w:r>
      <w:r>
        <w:rPr>
          <w:rFonts w:hint="eastAsia" w:ascii="Arial" w:hAnsi="Arial" w:cs="Arial"/>
          <w:b/>
          <w:sz w:val="24"/>
          <w:lang w:val="en-US" w:eastAsia="zh-CN"/>
        </w:rPr>
        <w:t>9</w:t>
      </w:r>
      <w:r>
        <w:rPr>
          <w:rFonts w:ascii="Arial" w:hAnsi="Arial" w:eastAsia="宋体" w:cs="Arial"/>
          <w:b/>
          <w:sz w:val="24"/>
          <w:lang w:eastAsia="zh-CN"/>
        </w:rPr>
        <w:t>-e</w:t>
      </w:r>
      <w:r>
        <w:rPr>
          <w:rFonts w:ascii="Arial" w:hAnsi="Arial" w:eastAsia="MS Mincho"/>
          <w:b/>
          <w:sz w:val="24"/>
        </w:rPr>
        <w:tab/>
      </w:r>
      <w:r>
        <w:rPr>
          <w:rFonts w:ascii="Arial" w:hAnsi="Arial"/>
          <w:b/>
          <w:sz w:val="24"/>
          <w:lang w:eastAsia="zh-CN"/>
        </w:rPr>
        <w:t>R4-210</w:t>
      </w:r>
      <w:r>
        <w:rPr>
          <w:rFonts w:hint="eastAsia" w:ascii="Arial" w:hAnsi="Arial"/>
          <w:b/>
          <w:sz w:val="24"/>
          <w:lang w:val="en-US" w:eastAsia="zh-CN"/>
        </w:rPr>
        <w:t>9761</w:t>
      </w:r>
    </w:p>
    <w:p>
      <w:pPr>
        <w:tabs>
          <w:tab w:val="left" w:pos="3106"/>
          <w:tab w:val="center" w:pos="4536"/>
          <w:tab w:val="right" w:pos="9072"/>
        </w:tabs>
        <w:jc w:val="both"/>
        <w:rPr>
          <w:rFonts w:ascii="Arial" w:hAnsi="Arial" w:eastAsia="宋体"/>
          <w:b/>
          <w:sz w:val="24"/>
          <w:lang w:val="en-GB" w:eastAsia="zh-CN"/>
        </w:rPr>
      </w:pPr>
      <w:r>
        <w:rPr>
          <w:rFonts w:ascii="Arial" w:hAnsi="Arial" w:eastAsia="宋体"/>
          <w:b/>
          <w:sz w:val="24"/>
          <w:lang w:eastAsia="zh-CN"/>
        </w:rPr>
        <w:t xml:space="preserve">Electronic Meeting, </w:t>
      </w:r>
      <w:r>
        <w:rPr>
          <w:rFonts w:hint="eastAsia" w:ascii="Arial" w:hAnsi="Arial" w:eastAsia="宋体"/>
          <w:b/>
          <w:sz w:val="24"/>
          <w:lang w:val="en-US" w:eastAsia="zh-CN"/>
        </w:rPr>
        <w:t>19</w:t>
      </w:r>
      <w:r>
        <w:rPr>
          <w:rFonts w:ascii="Arial" w:hAnsi="Arial" w:eastAsia="宋体"/>
          <w:b/>
          <w:sz w:val="24"/>
          <w:vertAlign w:val="superscript"/>
          <w:lang w:eastAsia="zh-CN"/>
        </w:rPr>
        <w:t>th</w:t>
      </w:r>
      <w:r>
        <w:rPr>
          <w:rFonts w:ascii="Arial" w:hAnsi="Arial" w:eastAsia="宋体"/>
          <w:b/>
          <w:sz w:val="24"/>
          <w:lang w:eastAsia="zh-CN"/>
        </w:rPr>
        <w:t xml:space="preserve"> - </w:t>
      </w:r>
      <w:r>
        <w:rPr>
          <w:rFonts w:hint="eastAsia" w:ascii="Arial" w:hAnsi="Arial" w:eastAsia="宋体"/>
          <w:b/>
          <w:sz w:val="24"/>
          <w:lang w:val="en-US" w:eastAsia="zh-CN"/>
        </w:rPr>
        <w:t>27</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val="en-US" w:eastAsia="zh-CN"/>
        </w:rPr>
        <w:t>May</w:t>
      </w:r>
      <w:r>
        <w:rPr>
          <w:rFonts w:ascii="Arial" w:hAnsi="Arial" w:eastAsia="宋体"/>
          <w:b/>
          <w:sz w:val="24"/>
          <w:lang w:eastAsia="zh-CN"/>
        </w:rPr>
        <w:t>,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3"/>
        <w:tabs>
          <w:tab w:val="left" w:pos="1800"/>
          <w:tab w:val="clear" w:pos="4536"/>
        </w:tabs>
        <w:spacing w:after="60"/>
        <w:ind w:left="1800" w:hanging="1800"/>
        <w:jc w:val="both"/>
        <w:rPr>
          <w:rFonts w:eastAsia="宋体"/>
          <w:sz w:val="24"/>
          <w:lang w:val="en-US" w:eastAsia="zh-CN"/>
        </w:rPr>
      </w:pPr>
      <w:r>
        <w:rPr>
          <w:sz w:val="24"/>
        </w:rPr>
        <w:t>Source:</w:t>
      </w:r>
      <w:r>
        <w:rPr>
          <w:sz w:val="24"/>
        </w:rPr>
        <w:tab/>
      </w:r>
      <w:r>
        <w:rPr>
          <w:rFonts w:eastAsia="宋体"/>
          <w:sz w:val="24"/>
          <w:lang w:val="en-US" w:eastAsia="zh-CN"/>
        </w:rPr>
        <w:t>ZTE Corporation</w:t>
      </w:r>
    </w:p>
    <w:p>
      <w:pPr>
        <w:pStyle w:val="13"/>
        <w:tabs>
          <w:tab w:val="left" w:pos="1800"/>
          <w:tab w:val="clear" w:pos="4536"/>
        </w:tabs>
        <w:spacing w:after="60"/>
        <w:ind w:left="1807" w:hanging="1807" w:hangingChars="750"/>
        <w:rPr>
          <w:rFonts w:hint="default" w:eastAsia="宋体"/>
          <w:sz w:val="24"/>
          <w:lang w:val="en-US" w:eastAsia="zh-CN"/>
        </w:rPr>
      </w:pPr>
      <w:r>
        <w:rPr>
          <w:sz w:val="24"/>
        </w:rPr>
        <w:t>Title:</w:t>
      </w:r>
      <w:r>
        <w:rPr>
          <w:sz w:val="24"/>
        </w:rPr>
        <w:tab/>
      </w:r>
      <w:bookmarkStart w:id="0" w:name="OLE_LINK1"/>
      <w:r>
        <w:rPr>
          <w:rFonts w:hint="eastAsia" w:eastAsia="宋体"/>
          <w:sz w:val="24"/>
          <w:lang w:val="en-US" w:eastAsia="zh-CN"/>
        </w:rPr>
        <w:t>Views on NCSG</w:t>
      </w:r>
      <w:bookmarkEnd w:id="0"/>
    </w:p>
    <w:p>
      <w:pPr>
        <w:pStyle w:val="13"/>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9.10.2.3</w:t>
      </w:r>
    </w:p>
    <w:p>
      <w:pPr>
        <w:pStyle w:val="13"/>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default" w:eastAsia="宋体"/>
          <w:sz w:val="21"/>
          <w:szCs w:val="21"/>
          <w:lang w:val="en-US" w:eastAsia="zh-CN"/>
        </w:rPr>
        <w:t xml:space="preserve">In </w:t>
      </w:r>
      <w:r>
        <w:rPr>
          <w:rFonts w:hint="eastAsia" w:eastAsia="宋体"/>
          <w:sz w:val="21"/>
          <w:szCs w:val="21"/>
          <w:lang w:val="en-US" w:eastAsia="zh-CN"/>
        </w:rPr>
        <w:t xml:space="preserve">the last meeting, the following agreements on the </w:t>
      </w:r>
      <w:r>
        <w:rPr>
          <w:sz w:val="21"/>
          <w:szCs w:val="21"/>
          <w:lang w:val="zh-CN"/>
        </w:rPr>
        <w:t>network controlled small gap</w:t>
      </w:r>
      <w:r>
        <w:rPr>
          <w:rFonts w:hint="eastAsia" w:eastAsia="宋体"/>
          <w:sz w:val="21"/>
          <w:szCs w:val="21"/>
          <w:lang w:val="en-US" w:eastAsia="zh-CN"/>
        </w:rPr>
        <w:t xml:space="preserve"> were achieved [1]:</w:t>
      </w:r>
      <w:r>
        <w:rPr>
          <w:rFonts w:hint="default" w:eastAsia="宋体"/>
          <w:sz w:val="21"/>
          <w:szCs w:val="21"/>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sz w:val="20"/>
                <w:szCs w:val="20"/>
                <w:lang w:val="en-US"/>
              </w:rPr>
            </w:pPr>
            <w:r>
              <w:rPr>
                <w:rFonts w:hint="eastAsia" w:ascii="Times New Roman" w:hAnsi="Times New Roman" w:cs="Times New Roman"/>
                <w:b/>
                <w:bCs/>
                <w:sz w:val="20"/>
                <w:szCs w:val="20"/>
                <w:lang w:val="en-US"/>
              </w:rPr>
              <w:t>Scenarios and use cases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The use cases of NR NCSG can be</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Eliminate/reduce interruption rate and interruption length/duration due to measurements on [deactivated Scell, Scell with dormant BWP or unused RF chain</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Per-CC gap is not considered for NCSG</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NCSG patterns shall be defined for both synchronous and asynchronous operations</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FFS on RAN4 needs to define separate NCSG patterns for sync and async scenarios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eastAsia="宋体" w:cs="Times New Roman"/>
                <w:b/>
                <w:bCs/>
                <w:sz w:val="20"/>
                <w:szCs w:val="20"/>
                <w:lang w:val="en-US" w:eastAsia="zh-CN"/>
              </w:rPr>
            </w:pPr>
            <w:r>
              <w:rPr>
                <w:rFonts w:hint="eastAsia" w:ascii="Times New Roman" w:hAnsi="Times New Roman" w:cs="Times New Roman"/>
                <w:b/>
                <w:bCs/>
                <w:sz w:val="20"/>
                <w:szCs w:val="20"/>
                <w:lang w:val="en-US"/>
              </w:rPr>
              <w:t>NCSG pattern</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The general NCSG design principle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Option 1. Define NCSG patterns for All 26 MG patterns in Rel16</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Option 2 Define NCSG patterns for subset of the legacy MG patterns in [TS38.133 v16.5.0]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FFS on which subset of legacy MG patterns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The NCSG gap patterns are defined based on the absolute RF retuning time or not?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Option 1: NO, based on a generic interrupted duration [FFS] </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26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Option1-1: ML=MGL-VIL1-VIL2</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26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Option1-2: ML=legacy MG window length</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Option 2: Yes, based on the RF retuning time (RRT). ML=MGL-RRT1-RRT2</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26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FFS on the length of RRT</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Support both per FR and per UE NCSG patterns in Rel17</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sz w:val="20"/>
                <w:szCs w:val="20"/>
                <w:lang w:val="en-US"/>
              </w:rPr>
            </w:pPr>
            <w:r>
              <w:rPr>
                <w:rFonts w:hint="eastAsia" w:ascii="Times New Roman" w:hAnsi="Times New Roman" w:cs="Times New Roman"/>
                <w:b/>
                <w:bCs/>
                <w:sz w:val="20"/>
                <w:szCs w:val="20"/>
                <w:lang w:val="en-US"/>
              </w:rPr>
              <w:t>NCSG configuration</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Only NW explicit configuration for NCSG is considered in Rel17</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sz w:val="20"/>
                <w:szCs w:val="20"/>
                <w:lang w:val="en-US"/>
              </w:rPr>
            </w:pPr>
            <w:r>
              <w:rPr>
                <w:rFonts w:hint="eastAsia" w:ascii="Times New Roman" w:hAnsi="Times New Roman" w:cs="Times New Roman"/>
                <w:b/>
                <w:bCs/>
                <w:sz w:val="20"/>
                <w:szCs w:val="20"/>
                <w:lang w:val="en-US"/>
              </w:rPr>
              <w:t>Signaling</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Note: RAN4 tries to reach consensus on what needs to be signalled for NCSG support. The final signaling design is still up to RAN2 decision. </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sz w:val="20"/>
                <w:szCs w:val="20"/>
                <w:lang w:val="en-US"/>
              </w:rPr>
            </w:pPr>
            <w:r>
              <w:rPr>
                <w:rFonts w:hint="eastAsia" w:ascii="Times New Roman" w:hAnsi="Times New Roman" w:cs="Times New Roman"/>
                <w:b/>
                <w:bCs/>
                <w:sz w:val="20"/>
                <w:szCs w:val="20"/>
                <w:lang w:val="en-US"/>
              </w:rPr>
              <w:t>Specification impacts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eastAsia="宋体" w:asciiTheme="minorHAnsi" w:hAnsiTheme="minorHAnsi"/>
                <w:sz w:val="22"/>
                <w:szCs w:val="22"/>
                <w:lang w:val="en-US" w:eastAsia="zh-CN"/>
              </w:rPr>
            </w:pPr>
            <w:r>
              <w:rPr>
                <w:rFonts w:hint="eastAsia" w:ascii="Times New Roman" w:hAnsi="Times New Roman" w:cs="Times New Roman"/>
                <w:sz w:val="20"/>
                <w:szCs w:val="20"/>
                <w:lang w:val="en-US"/>
              </w:rPr>
              <w:t>Decision of the specification section(s) for specifying the NCSG patterns is deferred until reasonable level of agreements on NCSG concept and patterns are agreed by RAN4</w:t>
            </w:r>
          </w:p>
        </w:tc>
      </w:tr>
    </w:tbl>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default" w:eastAsia="宋体"/>
          <w:sz w:val="21"/>
          <w:szCs w:val="21"/>
          <w:lang w:val="en-US" w:eastAsia="zh-CN"/>
        </w:rPr>
        <w:t xml:space="preserve">In this contribution, we provide </w:t>
      </w:r>
      <w:r>
        <w:rPr>
          <w:rFonts w:hint="eastAsia" w:eastAsia="宋体"/>
          <w:sz w:val="21"/>
          <w:szCs w:val="21"/>
          <w:lang w:val="en-US" w:eastAsia="zh-CN"/>
        </w:rPr>
        <w:t>some further discussions on the following open issues.</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rPr>
        <w:t>NCSG scenarios</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General NCSG pattern design principle</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Relation with ‘NeedForGap’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4"/>
        <w:bidi w:val="0"/>
        <w:rPr>
          <w:rFonts w:hint="default"/>
          <w:sz w:val="28"/>
          <w:szCs w:val="28"/>
          <w:lang w:val="en-US" w:eastAsia="zh-CN"/>
        </w:rPr>
      </w:pPr>
      <w:r>
        <w:rPr>
          <w:rFonts w:hint="eastAsia"/>
          <w:sz w:val="28"/>
          <w:szCs w:val="28"/>
          <w:lang w:val="en-US" w:eastAsia="zh-CN"/>
        </w:rPr>
        <w:t>2.1 NCSG scenarios</w:t>
      </w:r>
    </w:p>
    <w:p>
      <w:pPr>
        <w:pStyle w:val="3"/>
        <w:tabs>
          <w:tab w:val="left" w:pos="226"/>
          <w:tab w:val="left" w:pos="284"/>
          <w:tab w:val="left" w:pos="5103"/>
        </w:tabs>
        <w:snapToGrid w:val="0"/>
        <w:rPr>
          <w:rFonts w:hint="eastAsia" w:eastAsia="宋体"/>
          <w:sz w:val="21"/>
          <w:szCs w:val="21"/>
          <w:lang w:val="en-US" w:eastAsia="zh-CN"/>
        </w:rPr>
      </w:pPr>
      <w:r>
        <w:rPr>
          <w:rFonts w:hint="eastAsia" w:eastAsia="宋体"/>
          <w:sz w:val="21"/>
          <w:szCs w:val="21"/>
          <w:lang w:val="en-US" w:eastAsia="zh-CN"/>
        </w:rPr>
        <w:t xml:space="preserve">Considering for the NCSG scenarios, a </w:t>
      </w:r>
      <w:r>
        <w:rPr>
          <w:lang w:val="en-US" w:eastAsia="zh-CN"/>
        </w:rPr>
        <w:t>straightforward use case</w:t>
      </w:r>
      <w:r>
        <w:rPr>
          <w:rFonts w:hint="eastAsia" w:eastAsia="宋体"/>
          <w:sz w:val="21"/>
          <w:szCs w:val="21"/>
          <w:lang w:val="en-US" w:eastAsia="zh-CN"/>
        </w:rPr>
        <w:t xml:space="preserve"> has been agreed, but it is still open for the NCSG application scenarios. Whether NCSG can be applied for intra-frequency measurements with MG, inter-frequency measurements with MG and inter-RAT measurements with MG, which should be further discussed.</w:t>
      </w:r>
    </w:p>
    <w:p>
      <w:pPr>
        <w:pStyle w:val="3"/>
        <w:tabs>
          <w:tab w:val="left" w:pos="226"/>
          <w:tab w:val="left" w:pos="284"/>
          <w:tab w:val="left" w:pos="5103"/>
        </w:tabs>
        <w:snapToGrid w:val="0"/>
        <w:rPr>
          <w:rFonts w:hint="eastAsia" w:eastAsia="宋体"/>
          <w:sz w:val="21"/>
          <w:szCs w:val="21"/>
          <w:lang w:val="en-US" w:eastAsia="zh-CN"/>
        </w:rPr>
      </w:pPr>
      <w:r>
        <w:rPr>
          <w:rFonts w:hint="eastAsia" w:eastAsia="宋体"/>
          <w:sz w:val="21"/>
          <w:szCs w:val="21"/>
          <w:lang w:val="en-US" w:eastAsia="zh-CN"/>
        </w:rPr>
        <w:t xml:space="preserve">In LTE, NCSG is applied to inter-frequency measurements, inter-RAT measurements and deactivated SCC measurement when UE have spare RF chains during the measurements. We are not sure why intra-frequency measurements is not included. </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default" w:eastAsia="宋体"/>
          <w:sz w:val="21"/>
          <w:szCs w:val="21"/>
          <w:lang w:val="en-US" w:eastAsia="zh-CN"/>
        </w:rPr>
      </w:pPr>
      <w:r>
        <w:rPr>
          <w:rFonts w:hint="eastAsia" w:eastAsia="宋体"/>
          <w:sz w:val="21"/>
          <w:szCs w:val="21"/>
          <w:lang w:val="en-US" w:eastAsia="zh-CN"/>
        </w:rPr>
        <w:t>As for NR, the main aim of NCSG is to ensure that the measurements with MG may not need MG once UE supports corresponding band combination and has additional RF chains for measurements, so that to increase user throughput on the used PCell serving carrier and hence to enables quasi gap-less measurements using the idle RF capacity. In particular, DL allocation is enabled for PCell during the measurement period of the idle receiver except for two VILs at measurement start and stop, for which an interruption is still required. With the help of additional RF chain, we think intra-frequency measurements with MG, inter-frequency measurements with MG and inter-RAT measurements can use NCSG instead of MG. There is not any obvious reason to exclude intra-frequency measurements with MG.</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sz w:val="21"/>
          <w:szCs w:val="21"/>
          <w:lang w:val="en-US" w:eastAsia="zh-CN"/>
        </w:rPr>
      </w:pPr>
      <w:r>
        <w:rPr>
          <w:rFonts w:eastAsia="宋体"/>
          <w:b/>
          <w:bCs/>
          <w:sz w:val="21"/>
          <w:szCs w:val="21"/>
          <w:lang w:val="en-GB" w:eastAsia="zh-CN"/>
        </w:rPr>
        <w:t>Proposal 1:</w:t>
      </w:r>
      <w:r>
        <w:rPr>
          <w:rFonts w:hint="eastAsia" w:eastAsia="宋体"/>
          <w:b/>
          <w:bCs/>
          <w:sz w:val="21"/>
          <w:szCs w:val="21"/>
          <w:lang w:val="en-US" w:eastAsia="zh-CN"/>
        </w:rPr>
        <w:t xml:space="preserve"> Intra-frequency measurements with MG, inter-frequency measurements with MG or inter-RAT measurements may use NCSG instead of MG when UE supports the corresponding band combination and has additional RF chains for measurements. </w:t>
      </w:r>
    </w:p>
    <w:p>
      <w:pPr>
        <w:pStyle w:val="3"/>
        <w:tabs>
          <w:tab w:val="left" w:pos="226"/>
          <w:tab w:val="left" w:pos="284"/>
          <w:tab w:val="left" w:pos="5103"/>
        </w:tabs>
        <w:snapToGrid w:val="0"/>
        <w:rPr>
          <w:rFonts w:hint="default" w:eastAsia="宋体"/>
          <w:sz w:val="21"/>
          <w:szCs w:val="21"/>
          <w:lang w:val="en-US" w:eastAsia="zh-CN"/>
        </w:rPr>
      </w:pPr>
    </w:p>
    <w:p>
      <w:pPr>
        <w:pStyle w:val="4"/>
        <w:bidi w:val="0"/>
        <w:rPr>
          <w:rFonts w:hint="eastAsia"/>
          <w:sz w:val="28"/>
          <w:szCs w:val="28"/>
          <w:lang w:val="en-US" w:eastAsia="zh-CN"/>
        </w:rPr>
      </w:pPr>
      <w:r>
        <w:rPr>
          <w:rFonts w:hint="eastAsia"/>
          <w:sz w:val="28"/>
          <w:szCs w:val="28"/>
          <w:lang w:val="en-US" w:eastAsia="zh-CN"/>
        </w:rPr>
        <w:t>2.2 General NCSG pattern design principle</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sz w:val="21"/>
          <w:szCs w:val="21"/>
          <w:lang w:val="en-US" w:eastAsia="zh-CN"/>
        </w:rPr>
      </w:pPr>
      <w:r>
        <w:rPr>
          <w:rFonts w:hint="eastAsia" w:eastAsia="宋体"/>
          <w:sz w:val="21"/>
          <w:szCs w:val="21"/>
          <w:lang w:val="en-US" w:eastAsia="zh-CN"/>
        </w:rPr>
        <w:t>Considering for the NCSG pattern design principle, two remaining issue are still open:</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Issue 1: NCSG pattern design</w:t>
      </w:r>
    </w:p>
    <w:p>
      <w:pPr>
        <w:pStyle w:val="14"/>
        <w:numPr>
          <w:ilvl w:val="1"/>
          <w:numId w:val="4"/>
        </w:numPr>
        <w:overflowPunct/>
        <w:autoSpaceDE/>
        <w:autoSpaceDN/>
        <w:adjustRightInd/>
        <w:spacing w:before="0" w:beforeAutospacing="0" w:after="120" w:afterAutospacing="0"/>
        <w:ind w:left="317" w:hanging="357"/>
        <w:textAlignment w:val="auto"/>
        <w:rPr>
          <w:rFonts w:hint="eastAsia"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Issue 2: Whether separate NCSG patterns needed for synchronous and asynchronous operations</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sz w:val="21"/>
          <w:szCs w:val="21"/>
          <w:lang w:val="en-US" w:eastAsia="zh-CN"/>
        </w:rPr>
      </w:pPr>
      <w:r>
        <w:rPr>
          <w:rFonts w:hint="eastAsia" w:eastAsia="宋体"/>
          <w:sz w:val="21"/>
          <w:szCs w:val="21"/>
          <w:lang w:val="en-US" w:eastAsia="zh-CN"/>
        </w:rPr>
        <w:t>For Issue 1, the following options were discussed during 98bis e-meeting.</w:t>
      </w:r>
    </w:p>
    <w:p>
      <w:pPr>
        <w:pStyle w:val="26"/>
        <w:numPr>
          <w:ilvl w:val="0"/>
          <w:numId w:val="7"/>
        </w:numPr>
        <w:ind w:left="420" w:leftChars="0" w:hanging="42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1a</w:t>
      </w:r>
      <w:r>
        <w:rPr>
          <w:rFonts w:hint="default" w:ascii="Times New Roman" w:hAnsi="Times New Roman" w:cs="Times New Roman"/>
          <w:sz w:val="20"/>
          <w:szCs w:val="20"/>
          <w:lang w:val="en-US" w:eastAsia="zh-CN"/>
        </w:rPr>
        <w:t>: Similarly as LTE, define NCSG for part of legacy</w:t>
      </w:r>
      <w:r>
        <w:rPr>
          <w:rFonts w:hint="default" w:ascii="Times New Roman" w:hAnsi="Times New Roman" w:cs="Times New Roman"/>
          <w:sz w:val="20"/>
          <w:szCs w:val="20"/>
          <w:lang w:eastAsia="zh-CN"/>
        </w:rPr>
        <w:t xml:space="preserve"> gap pattern with long MGL.</w:t>
      </w:r>
    </w:p>
    <w:p>
      <w:pPr>
        <w:pStyle w:val="26"/>
        <w:numPr>
          <w:ilvl w:val="0"/>
          <w:numId w:val="7"/>
        </w:numPr>
        <w:ind w:left="420" w:leftChars="0" w:hanging="42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1b</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If the support of NCSG and the support of legacy MG patterns can be independently indicated, then all the existing MG patterns can be extended to be NCSG.</w:t>
      </w:r>
    </w:p>
    <w:p>
      <w:pPr>
        <w:pStyle w:val="26"/>
        <w:numPr>
          <w:ilvl w:val="0"/>
          <w:numId w:val="7"/>
        </w:numPr>
        <w:ind w:left="420" w:leftChars="0" w:hanging="420" w:firstLineChars="0"/>
        <w:rPr>
          <w:rFonts w:hint="default" w:ascii="Times New Roman" w:hAnsi="Times New Roman" w:cs="Times New Roman"/>
          <w:sz w:val="20"/>
          <w:szCs w:val="20"/>
          <w:lang w:eastAsia="zh-CN"/>
        </w:rPr>
      </w:pPr>
      <w:r>
        <w:rPr>
          <w:rFonts w:hint="default" w:ascii="Times New Roman" w:hAnsi="Times New Roman" w:cs="Times New Roman"/>
          <w:sz w:val="20"/>
          <w:szCs w:val="20"/>
        </w:rPr>
        <w:t>Option 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R</w:t>
      </w:r>
      <w:r>
        <w:rPr>
          <w:rFonts w:hint="default" w:ascii="Times New Roman" w:hAnsi="Times New Roman" w:cs="Times New Roman"/>
          <w:sz w:val="20"/>
          <w:szCs w:val="20"/>
        </w:rPr>
        <w:t>euse part of the legacy MG patterns as the new NCSG patterns in NR.</w:t>
      </w:r>
    </w:p>
    <w:p>
      <w:pPr>
        <w:pStyle w:val="26"/>
        <w:numPr>
          <w:ilvl w:val="0"/>
          <w:numId w:val="8"/>
        </w:numPr>
        <w:ind w:left="0" w:leftChars="0" w:firstLine="360"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Option 2a: </w:t>
      </w:r>
    </w:p>
    <w:p>
      <w:pPr>
        <w:pStyle w:val="26"/>
        <w:numPr>
          <w:ilvl w:val="2"/>
          <w:numId w:val="9"/>
        </w:numPr>
        <w:ind w:left="126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Do not design NCSG for legacy NR measurement gap when the MGL of that legacy measurement gap is less than a particular threshold, for example 4ms for FR1 (3.5ms for FR2) </w:t>
      </w:r>
    </w:p>
    <w:p>
      <w:pPr>
        <w:pStyle w:val="26"/>
        <w:numPr>
          <w:ilvl w:val="2"/>
          <w:numId w:val="9"/>
        </w:numPr>
        <w:ind w:left="126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Do not design NCSG for legacy NR measurement gap when the percentage of (VIL1+VIL2)/ML is larger than a particular threshold, for example 2. </w:t>
      </w:r>
    </w:p>
    <w:p>
      <w:pPr>
        <w:pStyle w:val="26"/>
        <w:numPr>
          <w:ilvl w:val="2"/>
          <w:numId w:val="9"/>
        </w:numPr>
        <w:ind w:left="126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NCSG for legacy NR measurement gap with MGRP = 20ms are not defined.</w:t>
      </w:r>
    </w:p>
    <w:p>
      <w:pPr>
        <w:pStyle w:val="26"/>
        <w:numPr>
          <w:ilvl w:val="0"/>
          <w:numId w:val="10"/>
        </w:numPr>
        <w:ind w:left="84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Option 2b: Prefer to reuse part of the legacy MG patterns as reference for NR NCSG patterns, with long MGL, e.g., 6ms for FR1 or 5.5ms FR2.</w:t>
      </w:r>
    </w:p>
    <w:p>
      <w:pPr>
        <w:pStyle w:val="26"/>
        <w:numPr>
          <w:ilvl w:val="0"/>
          <w:numId w:val="8"/>
        </w:numPr>
        <w:ind w:left="0" w:leftChars="0" w:firstLine="360" w:firstLineChars="0"/>
        <w:rPr>
          <w:rFonts w:hint="default" w:ascii="Times New Roman" w:hAnsi="Times New Roman" w:cs="Times New Roman"/>
          <w:sz w:val="20"/>
          <w:szCs w:val="20"/>
        </w:rPr>
      </w:pPr>
      <w:r>
        <w:rPr>
          <w:rFonts w:hint="default" w:ascii="Times New Roman" w:hAnsi="Times New Roman" w:cs="Times New Roman"/>
          <w:sz w:val="20"/>
          <w:szCs w:val="20"/>
        </w:rPr>
        <w:t>Option 2c</w:t>
      </w:r>
      <w:r>
        <w:rPr>
          <w:rFonts w:hint="default" w:ascii="Times New Roman" w:hAnsi="Times New Roman" w:cs="Times New Roman"/>
          <w:sz w:val="20"/>
          <w:szCs w:val="20"/>
          <w:lang w:val="en-US" w:eastAsia="zh-CN"/>
        </w:rPr>
        <w:t>:</w:t>
      </w:r>
    </w:p>
    <w:p>
      <w:pPr>
        <w:pStyle w:val="26"/>
        <w:numPr>
          <w:ilvl w:val="2"/>
          <w:numId w:val="9"/>
        </w:numPr>
        <w:ind w:left="126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gap patterns #24 and #25 won’t apply to NCSG.</w:t>
      </w:r>
    </w:p>
    <w:p>
      <w:pPr>
        <w:pStyle w:val="26"/>
        <w:numPr>
          <w:ilvl w:val="2"/>
          <w:numId w:val="9"/>
        </w:numPr>
        <w:ind w:left="126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per UE NCSG doesnot consider the patterns of legacy MGs with IDs 2-3. (0-1 are recommended)</w:t>
      </w:r>
    </w:p>
    <w:p>
      <w:pPr>
        <w:pStyle w:val="26"/>
        <w:numPr>
          <w:ilvl w:val="2"/>
          <w:numId w:val="9"/>
        </w:numPr>
        <w:ind w:left="126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per FR1 NCSG doesnot consider the patterns of legacy MGs with IDs 2-3 and 6-11. (0/1/4/5 are recommended)</w:t>
      </w:r>
    </w:p>
    <w:p>
      <w:pPr>
        <w:pStyle w:val="26"/>
        <w:numPr>
          <w:ilvl w:val="2"/>
          <w:numId w:val="9"/>
        </w:numPr>
        <w:ind w:left="126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per FR2 NCSG doesnot consider the patterns of legacy MGs with IDs 20-23. (12-19 are recommended)</w:t>
      </w:r>
    </w:p>
    <w:p>
      <w:pPr>
        <w:pStyle w:val="26"/>
        <w:numPr>
          <w:ilvl w:val="0"/>
          <w:numId w:val="11"/>
        </w:numPr>
        <w:tabs>
          <w:tab w:val="clear" w:pos="420"/>
        </w:tabs>
        <w:ind w:left="84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Option 2d</w:t>
      </w:r>
    </w:p>
    <w:p>
      <w:pPr>
        <w:pStyle w:val="26"/>
        <w:numPr>
          <w:ilvl w:val="0"/>
          <w:numId w:val="12"/>
        </w:numPr>
        <w:tabs>
          <w:tab w:val="clear" w:pos="-420"/>
        </w:tabs>
        <w:ind w:left="-420" w:leftChars="0" w:firstLine="1260" w:firstLineChars="0"/>
        <w:rPr>
          <w:rFonts w:hint="default" w:ascii="Times New Roman" w:hAnsi="Times New Roman" w:cs="Times New Roman"/>
          <w:sz w:val="20"/>
          <w:szCs w:val="20"/>
        </w:rPr>
      </w:pPr>
      <w:r>
        <w:rPr>
          <w:rFonts w:hint="default" w:ascii="Times New Roman" w:hAnsi="Times New Roman" w:cs="Times New Roman"/>
          <w:sz w:val="20"/>
          <w:szCs w:val="20"/>
        </w:rPr>
        <w:t>Gap patterns #24 and #25 are excluded.</w:t>
      </w:r>
    </w:p>
    <w:p>
      <w:pPr>
        <w:pStyle w:val="26"/>
        <w:numPr>
          <w:ilvl w:val="0"/>
          <w:numId w:val="12"/>
        </w:numPr>
        <w:tabs>
          <w:tab w:val="clear" w:pos="-420"/>
        </w:tabs>
        <w:ind w:left="-420" w:leftChars="0" w:firstLine="1260" w:firstLineChars="0"/>
        <w:rPr>
          <w:rFonts w:hint="default" w:ascii="Times New Roman" w:hAnsi="Times New Roman" w:cs="Times New Roman"/>
          <w:sz w:val="20"/>
          <w:szCs w:val="20"/>
        </w:rPr>
      </w:pPr>
      <w:r>
        <w:rPr>
          <w:rFonts w:hint="default" w:ascii="Times New Roman" w:hAnsi="Times New Roman" w:cs="Times New Roman"/>
          <w:sz w:val="20"/>
          <w:szCs w:val="20"/>
        </w:rPr>
        <w:t>Gap patterns #20 to #23 are excluded.</w:t>
      </w:r>
    </w:p>
    <w:p>
      <w:pPr>
        <w:pStyle w:val="26"/>
        <w:numPr>
          <w:ilvl w:val="0"/>
          <w:numId w:val="12"/>
        </w:numPr>
        <w:tabs>
          <w:tab w:val="clear" w:pos="-420"/>
        </w:tabs>
        <w:ind w:left="-420" w:leftChars="0" w:firstLine="1260" w:firstLineChars="0"/>
        <w:rPr>
          <w:rFonts w:hint="default" w:ascii="Times New Roman" w:hAnsi="Times New Roman" w:cs="Times New Roman"/>
          <w:sz w:val="20"/>
          <w:szCs w:val="20"/>
        </w:rPr>
      </w:pPr>
      <w:r>
        <w:rPr>
          <w:rFonts w:hint="default" w:ascii="Times New Roman" w:hAnsi="Times New Roman" w:cs="Times New Roman"/>
          <w:sz w:val="20"/>
          <w:szCs w:val="20"/>
        </w:rPr>
        <w:t>Gap patterns #2, #3 and #10, #11 are excluded</w:t>
      </w:r>
    </w:p>
    <w:p>
      <w:pPr>
        <w:pStyle w:val="26"/>
        <w:numPr>
          <w:ilvl w:val="0"/>
          <w:numId w:val="13"/>
        </w:numPr>
        <w:ind w:left="-420" w:leftChars="0" w:firstLine="360" w:firstLineChars="0"/>
        <w:rPr>
          <w:rFonts w:hint="default" w:ascii="Times New Roman" w:hAnsi="Times New Roman" w:cs="Times New Roman"/>
          <w:sz w:val="20"/>
          <w:szCs w:val="20"/>
          <w:lang w:eastAsia="zh-CN"/>
        </w:rPr>
      </w:pPr>
      <w:r>
        <w:rPr>
          <w:rFonts w:hint="default" w:ascii="Times New Roman" w:hAnsi="Times New Roman" w:cs="Times New Roman"/>
          <w:sz w:val="20"/>
          <w:szCs w:val="20"/>
        </w:rPr>
        <w:t>Option 3</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eastAsia="zh-CN"/>
        </w:rPr>
        <w:t xml:space="preserve">Define </w:t>
      </w:r>
      <w:r>
        <w:rPr>
          <w:rFonts w:hint="default" w:ascii="Times New Roman" w:hAnsi="Times New Roman" w:cs="Times New Roman"/>
          <w:sz w:val="20"/>
          <w:szCs w:val="20"/>
        </w:rPr>
        <w:t>NCSG patterns corresponding to legacy gap patterns with ID # 0 to ID #23.</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sz w:val="21"/>
          <w:szCs w:val="21"/>
          <w:lang w:val="en-US" w:eastAsia="zh-CN"/>
        </w:rPr>
      </w:pPr>
      <w:r>
        <w:rPr>
          <w:rFonts w:hint="eastAsia" w:eastAsia="宋体"/>
          <w:sz w:val="21"/>
          <w:szCs w:val="21"/>
          <w:lang w:val="en-US" w:eastAsia="zh-CN"/>
        </w:rPr>
        <w:t xml:space="preserve">Regarding NCSG pattern design, it is natural to reuse the legacy MG patterns as NCSG patterns in NR. Considering from the motivation of NCSG, we should further determine whether all of the legacy MG patterns are suitable as NCSG patterns. </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sz w:val="21"/>
          <w:szCs w:val="21"/>
          <w:lang w:val="en-US" w:eastAsia="zh-CN"/>
        </w:rPr>
      </w:pPr>
      <w:r>
        <w:rPr>
          <w:rFonts w:hint="eastAsia" w:eastAsia="宋体"/>
          <w:sz w:val="21"/>
          <w:szCs w:val="21"/>
          <w:lang w:val="en-US" w:eastAsia="zh-CN"/>
        </w:rPr>
        <w:t>Firstly, legacy patterns #24 and #25 are questionable. The two legacy patterns are intended for positioning measurement, it seems contradict with the motivation of introducing NCSG, so legacy patterns #24 and # 25 can be precluded from NCSG patterns.</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sz w:val="21"/>
          <w:szCs w:val="21"/>
          <w:lang w:val="en-US" w:eastAsia="zh-CN"/>
        </w:rPr>
      </w:pPr>
      <w:r>
        <w:rPr>
          <w:rFonts w:hint="eastAsia" w:eastAsia="宋体"/>
          <w:sz w:val="21"/>
          <w:szCs w:val="21"/>
          <w:lang w:val="en-US" w:eastAsia="zh-CN"/>
        </w:rPr>
        <w:t xml:space="preserve">Some companies questioned legacy pattern #20 to #23, since they have very short MGL, so the benefit of NCSG will decrease. The similar concern also happened for legacy pattern #2, #3, #10 and #11. </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sz w:val="21"/>
          <w:szCs w:val="21"/>
          <w:lang w:val="en-US" w:eastAsia="zh-CN"/>
        </w:rPr>
      </w:pPr>
      <w:r>
        <w:rPr>
          <w:rFonts w:hint="eastAsia" w:eastAsia="宋体"/>
          <w:sz w:val="21"/>
          <w:szCs w:val="21"/>
          <w:lang w:val="en-US" w:eastAsia="zh-CN"/>
        </w:rPr>
        <w:t>From the perspective of our view, considering the length of VIL and ML are still open, however MGL = VIL1+ML+VIL1, so it is too early and hasty to preclude the short MGL legacy patterns from NCSG patterns, so we prefer Option 3, i.e. reuse legacy patterns #0 to # 23 as NCSG patterns, NW can configure a suitable pattern from the 24 patterns as NCSG pattern for UE depending on the specific use case.</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2</w:t>
      </w:r>
      <w:r>
        <w:rPr>
          <w:rFonts w:hint="eastAsia" w:ascii="Times New Roman" w:hAnsi="Times New Roman" w:eastAsia="宋体" w:cs="Times New Roman"/>
          <w:b/>
          <w:bCs/>
          <w:sz w:val="21"/>
          <w:szCs w:val="21"/>
          <w:lang w:val="en-US" w:eastAsia="zh-CN" w:bidi="ar-SA"/>
        </w:rPr>
        <w:t>: Define NCSG patterns corresponding to legacy gap patterns with ID # 0 to ID #23.</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sz w:val="21"/>
          <w:szCs w:val="21"/>
          <w:lang w:val="en-US" w:eastAsia="zh-CN"/>
        </w:rPr>
      </w:pPr>
      <w:r>
        <w:rPr>
          <w:rFonts w:hint="eastAsia" w:ascii="Times New Roman" w:hAnsi="Times New Roman" w:eastAsia="宋体" w:cs="Times New Roman"/>
          <w:sz w:val="21"/>
          <w:szCs w:val="21"/>
          <w:lang w:val="en-US" w:eastAsia="zh-CN" w:bidi="ar-SA"/>
        </w:rPr>
        <w:t xml:space="preserve">For Issue 2, in LTE, for each </w:t>
      </w:r>
      <w:r>
        <w:rPr>
          <w:rFonts w:hint="eastAsia" w:eastAsia="宋体" w:cs="Times New Roman"/>
          <w:sz w:val="21"/>
          <w:szCs w:val="21"/>
          <w:lang w:val="en-US" w:eastAsia="zh-CN" w:bidi="ar-SA"/>
        </w:rPr>
        <w:t xml:space="preserve">MG </w:t>
      </w:r>
      <w:r>
        <w:rPr>
          <w:rFonts w:hint="eastAsia" w:ascii="Times New Roman" w:hAnsi="Times New Roman" w:eastAsia="宋体" w:cs="Times New Roman"/>
          <w:sz w:val="21"/>
          <w:szCs w:val="21"/>
          <w:lang w:val="en-US" w:eastAsia="zh-CN" w:bidi="ar-SA"/>
        </w:rPr>
        <w:t>pattern, there are two NCSG patterns for asynchronous DC scenario and synchronous DC, respectively.</w:t>
      </w:r>
      <w:r>
        <w:rPr>
          <w:rFonts w:hint="eastAsia" w:eastAsia="宋体" w:cs="Times New Roman"/>
          <w:sz w:val="21"/>
          <w:szCs w:val="21"/>
          <w:lang w:val="en-US" w:eastAsia="zh-CN" w:bidi="ar-SA"/>
        </w:rPr>
        <w:t xml:space="preserve"> The main reason for LTE to separately define </w:t>
      </w:r>
      <w:r>
        <w:rPr>
          <w:rFonts w:hint="eastAsia" w:ascii="Times New Roman" w:hAnsi="Times New Roman" w:eastAsia="宋体" w:cs="Times New Roman"/>
          <w:sz w:val="21"/>
          <w:szCs w:val="21"/>
          <w:lang w:val="en-US" w:eastAsia="zh-CN" w:bidi="ar-SA"/>
        </w:rPr>
        <w:t xml:space="preserve">asynchronous </w:t>
      </w:r>
      <w:r>
        <w:rPr>
          <w:rFonts w:hint="eastAsia" w:eastAsia="宋体" w:cs="Times New Roman"/>
          <w:sz w:val="21"/>
          <w:szCs w:val="21"/>
          <w:lang w:val="en-US" w:eastAsia="zh-CN" w:bidi="ar-SA"/>
        </w:rPr>
        <w:t xml:space="preserve">NCSG pattern and </w:t>
      </w:r>
      <w:r>
        <w:rPr>
          <w:rFonts w:hint="eastAsia" w:ascii="Times New Roman" w:hAnsi="Times New Roman" w:eastAsia="宋体" w:cs="Times New Roman"/>
          <w:sz w:val="21"/>
          <w:szCs w:val="21"/>
          <w:lang w:val="en-US" w:eastAsia="zh-CN" w:bidi="ar-SA"/>
        </w:rPr>
        <w:t xml:space="preserve">synchronous </w:t>
      </w:r>
      <w:r>
        <w:rPr>
          <w:rFonts w:hint="eastAsia" w:eastAsia="宋体" w:cs="Times New Roman"/>
          <w:sz w:val="21"/>
          <w:szCs w:val="21"/>
          <w:lang w:val="en-US" w:eastAsia="zh-CN" w:bidi="ar-SA"/>
        </w:rPr>
        <w:t xml:space="preserve">pattern is that LTE only supports NCSG based on GP #0 and GP #1 with MGL=6 ms. The flexibility of selection for </w:t>
      </w:r>
      <w:r>
        <w:rPr>
          <w:rFonts w:hint="eastAsia" w:ascii="Times New Roman" w:hAnsi="Times New Roman" w:eastAsia="宋体" w:cs="Times New Roman"/>
          <w:sz w:val="21"/>
          <w:szCs w:val="21"/>
          <w:lang w:val="en-US" w:eastAsia="zh-CN" w:bidi="ar-SA"/>
        </w:rPr>
        <w:t xml:space="preserve">asynchronous </w:t>
      </w:r>
      <w:r>
        <w:rPr>
          <w:rFonts w:hint="eastAsia" w:eastAsia="宋体" w:cs="Times New Roman"/>
          <w:sz w:val="21"/>
          <w:szCs w:val="21"/>
          <w:lang w:val="en-US" w:eastAsia="zh-CN" w:bidi="ar-SA"/>
        </w:rPr>
        <w:t xml:space="preserve">case and </w:t>
      </w:r>
      <w:r>
        <w:rPr>
          <w:rFonts w:hint="eastAsia" w:ascii="Times New Roman" w:hAnsi="Times New Roman" w:eastAsia="宋体" w:cs="Times New Roman"/>
          <w:sz w:val="21"/>
          <w:szCs w:val="21"/>
          <w:lang w:val="en-US" w:eastAsia="zh-CN" w:bidi="ar-SA"/>
        </w:rPr>
        <w:t xml:space="preserve">synchronous </w:t>
      </w:r>
      <w:r>
        <w:rPr>
          <w:rFonts w:hint="eastAsia" w:eastAsia="宋体" w:cs="Times New Roman"/>
          <w:sz w:val="21"/>
          <w:szCs w:val="21"/>
          <w:lang w:val="en-US" w:eastAsia="zh-CN" w:bidi="ar-SA"/>
        </w:rPr>
        <w:t xml:space="preserve">case is limited by the small total number of patterns. But for NR, based on our above analysis, totally 24 legacy patterns can be reused as NCSG pattern, so NW is flexible enough to select suitable NCSG pattern depending on the requirements for </w:t>
      </w:r>
      <w:r>
        <w:rPr>
          <w:rFonts w:hint="eastAsia" w:ascii="Times New Roman" w:hAnsi="Times New Roman" w:eastAsia="宋体" w:cs="Times New Roman"/>
          <w:sz w:val="21"/>
          <w:szCs w:val="21"/>
          <w:lang w:val="en-US" w:eastAsia="zh-CN" w:bidi="ar-SA"/>
        </w:rPr>
        <w:t xml:space="preserve">synchronous </w:t>
      </w:r>
      <w:r>
        <w:rPr>
          <w:rFonts w:hint="eastAsia" w:eastAsia="宋体" w:cs="Times New Roman"/>
          <w:sz w:val="21"/>
          <w:szCs w:val="21"/>
          <w:lang w:val="en-US" w:eastAsia="zh-CN" w:bidi="ar-SA"/>
        </w:rPr>
        <w:t xml:space="preserve">case and </w:t>
      </w:r>
      <w:r>
        <w:rPr>
          <w:rFonts w:hint="eastAsia" w:ascii="Times New Roman" w:hAnsi="Times New Roman" w:eastAsia="宋体" w:cs="Times New Roman"/>
          <w:sz w:val="21"/>
          <w:szCs w:val="21"/>
          <w:lang w:val="en-US" w:eastAsia="zh-CN" w:bidi="ar-SA"/>
        </w:rPr>
        <w:t xml:space="preserve">asynchronous </w:t>
      </w:r>
      <w:r>
        <w:rPr>
          <w:rFonts w:hint="eastAsia" w:eastAsia="宋体" w:cs="Times New Roman"/>
          <w:sz w:val="21"/>
          <w:szCs w:val="21"/>
          <w:lang w:val="en-US" w:eastAsia="zh-CN" w:bidi="ar-SA"/>
        </w:rPr>
        <w:t xml:space="preserve">case. Further more, the difference of interruption length between </w:t>
      </w:r>
      <w:r>
        <w:rPr>
          <w:rFonts w:hint="eastAsia" w:ascii="Times New Roman" w:hAnsi="Times New Roman" w:eastAsia="宋体" w:cs="Times New Roman"/>
          <w:sz w:val="21"/>
          <w:szCs w:val="21"/>
          <w:lang w:val="en-US" w:eastAsia="zh-CN" w:bidi="ar-SA"/>
        </w:rPr>
        <w:t xml:space="preserve">synchronous </w:t>
      </w:r>
      <w:r>
        <w:rPr>
          <w:rFonts w:hint="eastAsia" w:eastAsia="宋体" w:cs="Times New Roman"/>
          <w:sz w:val="21"/>
          <w:szCs w:val="21"/>
          <w:lang w:val="en-US" w:eastAsia="zh-CN" w:bidi="ar-SA"/>
        </w:rPr>
        <w:t xml:space="preserve">case and </w:t>
      </w:r>
      <w:r>
        <w:rPr>
          <w:rFonts w:hint="eastAsia" w:ascii="Times New Roman" w:hAnsi="Times New Roman" w:eastAsia="宋体" w:cs="Times New Roman"/>
          <w:sz w:val="21"/>
          <w:szCs w:val="21"/>
          <w:lang w:val="en-US" w:eastAsia="zh-CN" w:bidi="ar-SA"/>
        </w:rPr>
        <w:t xml:space="preserve">asynchronous </w:t>
      </w:r>
      <w:r>
        <w:rPr>
          <w:rFonts w:hint="eastAsia" w:eastAsia="宋体" w:cs="Times New Roman"/>
          <w:sz w:val="21"/>
          <w:szCs w:val="21"/>
          <w:lang w:val="en-US" w:eastAsia="zh-CN" w:bidi="ar-SA"/>
        </w:rPr>
        <w:t xml:space="preserve">case can be reflected through VIL. Therefore, it is not need to separate NCSG patterns needed </w:t>
      </w:r>
      <w:r>
        <w:rPr>
          <w:rFonts w:hint="eastAsia" w:eastAsia="宋体"/>
          <w:sz w:val="21"/>
          <w:szCs w:val="21"/>
          <w:lang w:val="en-US" w:eastAsia="zh-CN"/>
        </w:rPr>
        <w:t>for synchronous and asynchronous operations.</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s="Times New Roman"/>
          <w:b/>
          <w:bCs/>
          <w:sz w:val="21"/>
          <w:szCs w:val="21"/>
          <w:lang w:val="en-US" w:eastAsia="zh-CN" w:bidi="ar-SA"/>
        </w:rPr>
      </w:pPr>
      <w:r>
        <w:rPr>
          <w:rFonts w:hint="eastAsia" w:eastAsia="宋体" w:cs="Times New Roman"/>
          <w:b/>
          <w:bCs/>
          <w:sz w:val="21"/>
          <w:szCs w:val="21"/>
          <w:lang w:val="en-US" w:eastAsia="zh-CN" w:bidi="ar-SA"/>
        </w:rPr>
        <w:t>Proposal 3: There is no need to separate NCSG patterns needed for synchronous and asynchronous operations.</w:t>
      </w:r>
    </w:p>
    <w:p>
      <w:pPr>
        <w:pStyle w:val="4"/>
        <w:bidi w:val="0"/>
        <w:rPr>
          <w:rFonts w:hint="default"/>
          <w:sz w:val="28"/>
          <w:szCs w:val="28"/>
          <w:lang w:val="en-US" w:eastAsia="zh-CN"/>
        </w:rPr>
      </w:pPr>
      <w:r>
        <w:rPr>
          <w:rFonts w:hint="eastAsia"/>
          <w:sz w:val="28"/>
          <w:szCs w:val="28"/>
          <w:lang w:val="en-US" w:eastAsia="zh-CN"/>
        </w:rPr>
        <w:t xml:space="preserve">2.3 Relation with </w:t>
      </w:r>
      <w:r>
        <w:rPr>
          <w:rFonts w:hint="default"/>
          <w:sz w:val="28"/>
          <w:szCs w:val="28"/>
          <w:lang w:val="en-US" w:eastAsia="zh-CN"/>
        </w:rPr>
        <w:t>‘</w:t>
      </w:r>
      <w:r>
        <w:rPr>
          <w:rFonts w:hint="eastAsia"/>
          <w:sz w:val="28"/>
          <w:szCs w:val="28"/>
          <w:lang w:val="en-US" w:eastAsia="zh-CN"/>
        </w:rPr>
        <w:t>NeedForGap</w:t>
      </w:r>
      <w:r>
        <w:rPr>
          <w:rFonts w:hint="default"/>
          <w:sz w:val="28"/>
          <w:szCs w:val="28"/>
          <w:lang w:val="en-US" w:eastAsia="zh-CN"/>
        </w:rPr>
        <w:t>’</w:t>
      </w:r>
    </w:p>
    <w:p>
      <w:pPr>
        <w:pStyle w:val="3"/>
        <w:keepNext w:val="0"/>
        <w:keepLines w:val="0"/>
        <w:pageBreakBefore w:val="0"/>
        <w:widowControl/>
        <w:kinsoku/>
        <w:wordWrap/>
        <w:overflowPunct/>
        <w:topLinePunct w:val="0"/>
        <w:autoSpaceDE/>
        <w:autoSpaceDN/>
        <w:bidi w:val="0"/>
        <w:adjustRightInd/>
        <w:snapToGrid/>
        <w:textAlignment w:val="auto"/>
        <w:rPr>
          <w:rFonts w:hint="default"/>
          <w:sz w:val="28"/>
          <w:szCs w:val="28"/>
          <w:lang w:val="en-US" w:eastAsia="zh-CN"/>
        </w:rPr>
      </w:pPr>
      <w:r>
        <w:rPr>
          <w:rFonts w:hint="eastAsia" w:eastAsia="宋体"/>
          <w:sz w:val="21"/>
          <w:szCs w:val="21"/>
          <w:lang w:val="en-US" w:eastAsia="zh-CN"/>
        </w:rPr>
        <w:t>Considering for this issue, the following options were discussed during 98bis e-meeting.</w:t>
      </w:r>
    </w:p>
    <w:p>
      <w:pPr>
        <w:pStyle w:val="26"/>
        <w:numPr>
          <w:ilvl w:val="0"/>
          <w:numId w:val="14"/>
        </w:numPr>
        <w:ind w:left="420" w:leftChars="0" w:hanging="420" w:firstLineChars="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Option 1: The ‘Nee</w:t>
      </w:r>
      <w:r>
        <w:rPr>
          <w:rFonts w:hint="eastAsia" w:ascii="Times New Roman" w:hAnsi="Times New Roman" w:cs="Times New Roman" w:eastAsiaTheme="minorEastAsia"/>
          <w:lang w:val="en-US" w:eastAsia="zh-CN"/>
        </w:rPr>
        <w:t>d</w:t>
      </w:r>
      <w:r>
        <w:rPr>
          <w:rFonts w:hint="default" w:ascii="Times New Roman" w:hAnsi="Times New Roman" w:cs="Times New Roman" w:eastAsiaTheme="minorEastAsia"/>
          <w:lang w:val="en-US" w:eastAsia="zh-CN"/>
        </w:rPr>
        <w:t>ForGap’ signaling structure can be reused for NR NCSG as a start point</w:t>
      </w:r>
    </w:p>
    <w:p>
      <w:pPr>
        <w:pStyle w:val="26"/>
        <w:numPr>
          <w:ilvl w:val="0"/>
          <w:numId w:val="15"/>
        </w:numPr>
        <w:ind w:left="840" w:leftChars="0" w:hanging="420" w:firstLineChars="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Option 1a: Rel-17 NCSG capability is reported on top of existing RAN2 ‘NeedForGap’</w:t>
      </w:r>
      <w:r>
        <w:rPr>
          <w:rFonts w:hint="eastAsia" w:ascii="Times New Roman" w:hAnsi="Times New Roman" w:cs="Times New Roman" w:eastAsiaTheme="minorEastAsia"/>
          <w:lang w:val="en-US" w:eastAsia="zh-CN"/>
        </w:rPr>
        <w:t xml:space="preserve"> s</w:t>
      </w:r>
      <w:r>
        <w:rPr>
          <w:rFonts w:hint="default" w:ascii="Times New Roman" w:hAnsi="Times New Roman" w:cs="Times New Roman" w:eastAsiaTheme="minorEastAsia"/>
          <w:lang w:val="en-US" w:eastAsia="zh-CN"/>
        </w:rPr>
        <w:t xml:space="preserve">ignaling structure with a new component ‘NCSG’. </w:t>
      </w:r>
    </w:p>
    <w:p>
      <w:pPr>
        <w:pStyle w:val="26"/>
        <w:numPr>
          <w:ilvl w:val="0"/>
          <w:numId w:val="15"/>
        </w:numPr>
        <w:ind w:left="840" w:leftChars="0" w:hanging="420" w:firstLineChars="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Option 1b: Extend the Rel-16 ‘NeedForGap’ </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lang w:val="en-US" w:eastAsia="zh-CN"/>
        </w:rPr>
        <w:t xml:space="preserve">ignaling for UE to indicate </w:t>
      </w:r>
    </w:p>
    <w:p>
      <w:pPr>
        <w:pStyle w:val="26"/>
        <w:numPr>
          <w:ilvl w:val="0"/>
          <w:numId w:val="16"/>
        </w:numPr>
        <w:ind w:left="0" w:leftChars="0" w:firstLine="840" w:firstLineChars="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Need for normal MG, or</w:t>
      </w:r>
    </w:p>
    <w:p>
      <w:pPr>
        <w:pStyle w:val="26"/>
        <w:numPr>
          <w:ilvl w:val="0"/>
          <w:numId w:val="16"/>
        </w:numPr>
        <w:ind w:left="0" w:leftChars="0" w:firstLine="840" w:firstLineChars="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No need for normal MG but NCSG, or</w:t>
      </w:r>
    </w:p>
    <w:p>
      <w:pPr>
        <w:pStyle w:val="26"/>
        <w:numPr>
          <w:ilvl w:val="0"/>
          <w:numId w:val="16"/>
        </w:numPr>
        <w:ind w:left="0" w:leftChars="0" w:firstLine="840" w:firstLineChars="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No need for either normal MG or NCSG </w:t>
      </w:r>
    </w:p>
    <w:p>
      <w:pPr>
        <w:pStyle w:val="26"/>
        <w:numPr>
          <w:ilvl w:val="0"/>
          <w:numId w:val="17"/>
        </w:numPr>
        <w:ind w:left="420" w:leftChars="0" w:hanging="420" w:firstLineChars="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Option 2: Don’t reuse Rel-16 ‘NeedForGap’ </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lang w:val="en-US" w:eastAsia="zh-CN"/>
        </w:rPr>
        <w:t>ignaling for NCSG</w:t>
      </w:r>
    </w:p>
    <w:p>
      <w:pPr>
        <w:pStyle w:val="26"/>
        <w:numPr>
          <w:ilvl w:val="0"/>
          <w:numId w:val="17"/>
        </w:numPr>
        <w:ind w:left="420" w:leftChars="0" w:hanging="420" w:firstLineChars="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Option 3: NR NCSG signaling is introduced newly, independent from Rel-16 ‘Needforgap’</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lang w:val="en-US" w:eastAsia="zh-CN"/>
        </w:rPr>
        <w:t>signaling, e.g., NCSG, No-NCSG.</w:t>
      </w:r>
    </w:p>
    <w:p>
      <w:pPr>
        <w:pStyle w:val="26"/>
        <w:numPr>
          <w:ilvl w:val="0"/>
          <w:numId w:val="17"/>
        </w:numPr>
        <w:ind w:left="420" w:leftChars="0" w:hanging="420" w:firstLineChars="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Option 4: Let RAN2 decide NCSG signaling details and any relation between NCSG and ‘NeedForGap’</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lang w:val="en-US" w:eastAsia="zh-CN"/>
        </w:rPr>
        <w:t>based on RAN4 technical input on NCSG pattern design</w:t>
      </w:r>
    </w:p>
    <w:p>
      <w:pPr>
        <w:pStyle w:val="26"/>
        <w:numPr>
          <w:ilvl w:val="0"/>
          <w:numId w:val="17"/>
        </w:numPr>
        <w:ind w:left="420" w:leftChars="0" w:hanging="420" w:firstLineChars="0"/>
        <w:rPr>
          <w:rFonts w:hint="default"/>
          <w:sz w:val="28"/>
          <w:szCs w:val="28"/>
          <w:lang w:val="en-US" w:eastAsia="zh-CN"/>
        </w:rPr>
      </w:pPr>
      <w:r>
        <w:rPr>
          <w:rFonts w:hint="default" w:ascii="Times New Roman" w:hAnsi="Times New Roman" w:cs="Times New Roman" w:eastAsiaTheme="minorEastAsia"/>
          <w:lang w:val="en-US" w:eastAsia="zh-CN"/>
        </w:rPr>
        <w:t xml:space="preserve">Option 5: FFS </w:t>
      </w:r>
      <w:r>
        <w:rPr>
          <w:rFonts w:hint="default" w:ascii="Times New Roman" w:hAnsi="Times New Roman" w:cs="Times New Roman"/>
        </w:rPr>
        <w:t xml:space="preserve">when the NCSG pattern design as well </w:t>
      </w:r>
      <w:r>
        <w:rPr>
          <w:rFonts w:hint="default" w:ascii="Times New Roman" w:hAnsi="Times New Roman" w:cs="Times New Roman"/>
        </w:rPr>
        <w:tab/>
      </w:r>
      <w:r>
        <w:rPr>
          <w:rFonts w:hint="default" w:ascii="Times New Roman" w:hAnsi="Times New Roman" w:cs="Times New Roman"/>
        </w:rPr>
        <w:t>as NCSG applicability and UE capability support are finalized.</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In NR Rel-16, a </w:t>
      </w:r>
      <w:r>
        <w:rPr>
          <w:rFonts w:hint="default" w:ascii="Times New Roman" w:hAnsi="Times New Roman"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NeedForGap</w:t>
      </w:r>
      <w:r>
        <w:rPr>
          <w:rFonts w:hint="default" w:ascii="Times New Roman" w:hAnsi="Times New Roman"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 xml:space="preserve"> mechanism was introduced without RAN4 requirements. The UE can report whether it supports </w:t>
      </w:r>
      <w:r>
        <w:rPr>
          <w:rFonts w:hint="default" w:ascii="Times New Roman" w:hAnsi="Times New Roman"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no gap</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w:t>
      </w:r>
      <w:r>
        <w:rPr>
          <w:rFonts w:hint="eastAsia" w:ascii="Times New Roman" w:hAnsi="Times New Roman" w:eastAsia="宋体" w:cs="Times New Roman"/>
          <w:kern w:val="0"/>
          <w:sz w:val="21"/>
          <w:szCs w:val="21"/>
          <w:lang w:val="en-US" w:eastAsia="zh-CN" w:bidi="ar-SA"/>
        </w:rPr>
        <w:t xml:space="preserve">measurement in specific bands under its current band combination. </w:t>
      </w:r>
      <w:r>
        <w:rPr>
          <w:rFonts w:hint="eastAsia" w:ascii="Times New Roman" w:hAnsi="Times New Roman" w:cs="Times New Roman"/>
          <w:kern w:val="0"/>
          <w:sz w:val="21"/>
          <w:szCs w:val="21"/>
          <w:lang w:val="en-US" w:eastAsia="zh-CN" w:bidi="ar-SA"/>
        </w:rPr>
        <w:t xml:space="preserve">If </w:t>
      </w:r>
      <w:r>
        <w:rPr>
          <w:rFonts w:hint="eastAsia" w:ascii="Times New Roman" w:hAnsi="Times New Roman" w:eastAsia="宋体" w:cs="Times New Roman"/>
          <w:kern w:val="0"/>
          <w:sz w:val="21"/>
          <w:szCs w:val="21"/>
          <w:lang w:val="en-US" w:eastAsia="zh-CN" w:bidi="ar-SA"/>
        </w:rPr>
        <w:t xml:space="preserve">UE reports </w:t>
      </w:r>
      <w:r>
        <w:rPr>
          <w:rFonts w:hint="default" w:ascii="Times New Roman" w:hAnsi="Times New Roman"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no gap</w:t>
      </w:r>
      <w:r>
        <w:rPr>
          <w:rFonts w:hint="default" w:ascii="Times New Roman" w:hAnsi="Times New Roman"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 xml:space="preserve"> for some specific bands, it means measurement gap is unnecessary on </w:t>
      </w:r>
      <w:r>
        <w:rPr>
          <w:rFonts w:hint="eastAsia" w:ascii="Times New Roman" w:hAnsi="Times New Roman" w:cs="Times New Roman"/>
          <w:kern w:val="0"/>
          <w:sz w:val="21"/>
          <w:szCs w:val="21"/>
          <w:lang w:val="en-US" w:eastAsia="zh-CN" w:bidi="ar-SA"/>
        </w:rPr>
        <w:t xml:space="preserve">the corresponding </w:t>
      </w:r>
      <w:r>
        <w:rPr>
          <w:rFonts w:hint="eastAsia" w:ascii="Times New Roman" w:hAnsi="Times New Roman" w:eastAsia="宋体" w:cs="Times New Roman"/>
          <w:kern w:val="0"/>
          <w:sz w:val="21"/>
          <w:szCs w:val="21"/>
          <w:lang w:val="en-US" w:eastAsia="zh-CN" w:bidi="ar-SA"/>
        </w:rPr>
        <w:t xml:space="preserve">bands. </w:t>
      </w:r>
      <w:r>
        <w:rPr>
          <w:rFonts w:hint="eastAsia" w:ascii="Times New Roman" w:hAnsi="Times New Roman" w:cs="Times New Roman"/>
          <w:kern w:val="0"/>
          <w:sz w:val="21"/>
          <w:szCs w:val="21"/>
          <w:lang w:val="en-US" w:eastAsia="zh-CN" w:bidi="ar-SA"/>
        </w:rPr>
        <w:t xml:space="preserve">Otherwise, if UE reports </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gap</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for some specific bands, it means measurement gap is necessary on the corresponding bands.</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kern w:val="0"/>
          <w:sz w:val="21"/>
          <w:szCs w:val="21"/>
          <w:lang w:val="en-US" w:eastAsia="zh-CN" w:bidi="ar-SA"/>
        </w:rPr>
      </w:pPr>
      <w:r>
        <w:rPr>
          <w:rFonts w:hint="eastAsia" w:ascii="Times New Roman" w:hAnsi="Times New Roman" w:cs="Times New Roman"/>
          <w:kern w:val="0"/>
          <w:sz w:val="21"/>
          <w:szCs w:val="21"/>
          <w:lang w:val="en-US" w:eastAsia="zh-CN" w:bidi="ar-SA"/>
        </w:rPr>
        <w:t xml:space="preserve">We can believe that </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NCSG</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is an intermediate status between </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gap</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and </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no gap</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kern w:val="0"/>
          <w:sz w:val="21"/>
          <w:szCs w:val="21"/>
          <w:lang w:val="en-US" w:eastAsia="zh-CN" w:bidi="ar-SA"/>
        </w:rPr>
      </w:pP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gap</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in </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NeedForGap</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mechanism means corresponding measurement should be performed with gap and with interruption;</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kern w:val="0"/>
          <w:sz w:val="21"/>
          <w:szCs w:val="21"/>
          <w:lang w:val="en-US" w:eastAsia="zh-CN" w:bidi="ar-SA"/>
        </w:rPr>
      </w:pP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no gap</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in </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NeedForGap</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mechanism means corresponding measurement can be performed without any gap and interruption;</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kern w:val="0"/>
          <w:sz w:val="21"/>
          <w:szCs w:val="21"/>
          <w:lang w:val="en-US" w:eastAsia="zh-CN" w:bidi="ar-SA"/>
        </w:rPr>
      </w:pP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NCSG</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in </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NeedForGap</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mechanism means corresponding measurement should be performed with network controlled small interruption, and without any gap.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bidi="ar-SA"/>
        </w:rPr>
        <w:t xml:space="preserve">So, expanding the existing </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NeedForGap</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xml:space="preserve"> mechanism with an additional component </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NCSG</w:t>
      </w:r>
      <w:r>
        <w:rPr>
          <w:rFonts w:hint="default" w:ascii="Times New Roman" w:hAnsi="Times New Roman"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 which is an intuitive, simple, and effective method, instead of introducing some new UE capability reporting singaling. Option 1b is our preference.</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eastAsia" w:eastAsia="宋体" w:cs="Times New Roman"/>
          <w:b/>
          <w:bCs/>
          <w:sz w:val="21"/>
          <w:szCs w:val="21"/>
          <w:lang w:val="en-US" w:eastAsia="zh-CN" w:bidi="ar-SA"/>
        </w:rPr>
      </w:pPr>
      <w:bookmarkStart w:id="1" w:name="OLE_LINK2"/>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4</w:t>
      </w:r>
      <w:r>
        <w:rPr>
          <w:rFonts w:hint="eastAsia" w:ascii="Times New Roman" w:hAnsi="Times New Roman" w:eastAsia="宋体" w:cs="Times New Roman"/>
          <w:b/>
          <w:bCs/>
          <w:sz w:val="21"/>
          <w:szCs w:val="21"/>
          <w:lang w:val="en-US" w:eastAsia="zh-CN" w:bidi="ar-SA"/>
        </w:rPr>
        <w:t xml:space="preserve">: NCSG capability </w:t>
      </w:r>
      <w:r>
        <w:rPr>
          <w:rFonts w:hint="eastAsia" w:eastAsia="宋体" w:cs="Times New Roman"/>
          <w:b/>
          <w:bCs/>
          <w:sz w:val="21"/>
          <w:szCs w:val="21"/>
          <w:lang w:val="en-US" w:eastAsia="zh-CN" w:bidi="ar-SA"/>
        </w:rPr>
        <w:t xml:space="preserve">can be </w:t>
      </w:r>
      <w:r>
        <w:rPr>
          <w:rFonts w:hint="eastAsia" w:ascii="Times New Roman" w:hAnsi="Times New Roman" w:eastAsia="宋体" w:cs="Times New Roman"/>
          <w:b/>
          <w:bCs/>
          <w:sz w:val="21"/>
          <w:szCs w:val="21"/>
          <w:lang w:val="en-US" w:eastAsia="zh-CN" w:bidi="ar-SA"/>
        </w:rPr>
        <w:t xml:space="preserve">reported on top of </w:t>
      </w:r>
      <w:r>
        <w:rPr>
          <w:rFonts w:hint="eastAsia" w:eastAsia="宋体" w:cs="Times New Roman"/>
          <w:b/>
          <w:bCs/>
          <w:sz w:val="21"/>
          <w:szCs w:val="21"/>
          <w:lang w:val="en-US" w:eastAsia="zh-CN" w:bidi="ar-SA"/>
        </w:rPr>
        <w:t xml:space="preserve">the </w:t>
      </w:r>
      <w:r>
        <w:rPr>
          <w:rFonts w:hint="eastAsia" w:ascii="Times New Roman" w:hAnsi="Times New Roman" w:eastAsia="宋体" w:cs="Times New Roman"/>
          <w:b/>
          <w:bCs/>
          <w:sz w:val="21"/>
          <w:szCs w:val="21"/>
          <w:lang w:val="en-US" w:eastAsia="zh-CN" w:bidi="ar-SA"/>
        </w:rPr>
        <w:t xml:space="preserve">existing </w:t>
      </w:r>
      <w:r>
        <w:rPr>
          <w:rFonts w:hint="default" w:eastAsia="宋体" w:cs="Times New Roman"/>
          <w:b/>
          <w:bCs/>
          <w:sz w:val="21"/>
          <w:szCs w:val="21"/>
          <w:lang w:val="en-US" w:eastAsia="zh-CN" w:bidi="ar-SA"/>
        </w:rPr>
        <w:t>‘</w:t>
      </w:r>
      <w:r>
        <w:rPr>
          <w:rFonts w:hint="eastAsia" w:ascii="Times New Roman" w:hAnsi="Times New Roman" w:eastAsia="宋体" w:cs="Times New Roman"/>
          <w:b/>
          <w:bCs/>
          <w:sz w:val="21"/>
          <w:szCs w:val="21"/>
          <w:lang w:val="en-US" w:eastAsia="zh-CN" w:bidi="ar-SA"/>
        </w:rPr>
        <w:t>NeedForGap</w:t>
      </w:r>
      <w:r>
        <w:rPr>
          <w:rFonts w:hint="default" w:eastAsia="宋体" w:cs="Times New Roman"/>
          <w:b/>
          <w:bCs/>
          <w:sz w:val="21"/>
          <w:szCs w:val="21"/>
          <w:lang w:val="en-US" w:eastAsia="zh-CN" w:bidi="ar-SA"/>
        </w:rPr>
        <w:t>’</w:t>
      </w:r>
      <w:r>
        <w:rPr>
          <w:rFonts w:hint="eastAsia" w:ascii="Times New Roman" w:hAnsi="Times New Roman" w:eastAsia="宋体" w:cs="Times New Roman"/>
          <w:b/>
          <w:bCs/>
          <w:sz w:val="21"/>
          <w:szCs w:val="21"/>
          <w:lang w:val="en-US" w:eastAsia="zh-CN" w:bidi="ar-SA"/>
        </w:rPr>
        <w:t xml:space="preserve"> signaling structure with a</w:t>
      </w:r>
      <w:r>
        <w:rPr>
          <w:rFonts w:hint="eastAsia" w:eastAsia="宋体" w:cs="Times New Roman"/>
          <w:b/>
          <w:bCs/>
          <w:sz w:val="21"/>
          <w:szCs w:val="21"/>
          <w:lang w:val="en-US" w:eastAsia="zh-CN" w:bidi="ar-SA"/>
        </w:rPr>
        <w:t>n</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 xml:space="preserve">additional </w:t>
      </w:r>
      <w:r>
        <w:rPr>
          <w:rFonts w:hint="eastAsia" w:ascii="Times New Roman" w:hAnsi="Times New Roman" w:eastAsia="宋体" w:cs="Times New Roman"/>
          <w:b/>
          <w:bCs/>
          <w:sz w:val="21"/>
          <w:szCs w:val="21"/>
          <w:lang w:val="en-US" w:eastAsia="zh-CN" w:bidi="ar-SA"/>
        </w:rPr>
        <w:t xml:space="preserve">component </w:t>
      </w:r>
      <w:r>
        <w:rPr>
          <w:rFonts w:hint="default" w:eastAsia="宋体" w:cs="Times New Roman"/>
          <w:b/>
          <w:bCs/>
          <w:sz w:val="21"/>
          <w:szCs w:val="21"/>
          <w:lang w:val="en-US" w:eastAsia="zh-CN" w:bidi="ar-SA"/>
        </w:rPr>
        <w:t>‘</w:t>
      </w:r>
      <w:r>
        <w:rPr>
          <w:rFonts w:hint="eastAsia" w:ascii="Times New Roman" w:hAnsi="Times New Roman" w:eastAsia="宋体" w:cs="Times New Roman"/>
          <w:b/>
          <w:bCs/>
          <w:sz w:val="21"/>
          <w:szCs w:val="21"/>
          <w:lang w:val="en-US" w:eastAsia="zh-CN" w:bidi="ar-SA"/>
        </w:rPr>
        <w:t>NCSG</w:t>
      </w:r>
      <w:r>
        <w:rPr>
          <w:rFonts w:hint="default" w:eastAsia="宋体" w:cs="Times New Roman"/>
          <w:b/>
          <w:bCs/>
          <w:sz w:val="21"/>
          <w:szCs w:val="21"/>
          <w:lang w:val="en-US" w:eastAsia="zh-CN" w:bidi="ar-SA"/>
        </w:rPr>
        <w:t>’</w:t>
      </w:r>
      <w:r>
        <w:rPr>
          <w:rFonts w:hint="eastAsia" w:ascii="Times New Roman" w:hAnsi="Times New Roman" w:eastAsia="宋体" w:cs="Times New Roman"/>
          <w:b/>
          <w:bCs/>
          <w:sz w:val="21"/>
          <w:szCs w:val="21"/>
          <w:lang w:val="en-US" w:eastAsia="zh-CN" w:bidi="ar-SA"/>
        </w:rPr>
        <w:t xml:space="preserve">. </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default" w:eastAsia="宋体" w:cs="Times New Roman"/>
          <w:b/>
          <w:bCs/>
          <w:sz w:val="21"/>
          <w:szCs w:val="21"/>
          <w:lang w:val="en-US" w:eastAsia="zh-CN" w:bidi="ar-SA"/>
        </w:rPr>
      </w:pPr>
    </w:p>
    <w:p>
      <w:pPr>
        <w:pStyle w:val="3"/>
        <w:tabs>
          <w:tab w:val="left" w:pos="226"/>
          <w:tab w:val="left" w:pos="284"/>
          <w:tab w:val="left" w:pos="5103"/>
        </w:tabs>
        <w:snapToGrid w:val="0"/>
        <w:rPr>
          <w:rFonts w:hint="eastAsia" w:ascii="Times New Roman" w:hAnsi="Times New Roman" w:eastAsia="宋体" w:cs="Times New Roman"/>
          <w:b/>
          <w:bCs/>
          <w:sz w:val="21"/>
          <w:szCs w:val="21"/>
          <w:lang w:val="en-US" w:eastAsia="zh-CN" w:bidi="ar-SA"/>
        </w:rPr>
      </w:pPr>
    </w:p>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3"/>
        <w:tabs>
          <w:tab w:val="left" w:pos="226"/>
          <w:tab w:val="left" w:pos="284"/>
          <w:tab w:val="left" w:pos="5103"/>
        </w:tabs>
        <w:snapToGrid w:val="0"/>
        <w:rPr>
          <w:rFonts w:eastAsia="宋体"/>
          <w:bCs/>
          <w:sz w:val="21"/>
          <w:szCs w:val="21"/>
          <w:lang w:val="en-GB" w:eastAsia="zh-CN"/>
        </w:rPr>
      </w:pPr>
      <w:r>
        <w:rPr>
          <w:rFonts w:eastAsia="宋体"/>
          <w:bCs/>
          <w:sz w:val="21"/>
          <w:szCs w:val="21"/>
          <w:lang w:val="en-GB" w:eastAsia="zh-CN"/>
        </w:rPr>
        <w:t xml:space="preserve">In this </w:t>
      </w:r>
      <w:r>
        <w:rPr>
          <w:rFonts w:hint="eastAsia" w:eastAsia="宋体"/>
          <w:bCs/>
          <w:sz w:val="21"/>
          <w:szCs w:val="21"/>
          <w:lang w:val="en-US" w:eastAsia="zh-CN"/>
        </w:rPr>
        <w:t>contribution</w:t>
      </w:r>
      <w:r>
        <w:rPr>
          <w:rFonts w:eastAsia="宋体"/>
          <w:bCs/>
          <w:sz w:val="21"/>
          <w:szCs w:val="21"/>
          <w:lang w:val="en-GB" w:eastAsia="zh-CN"/>
        </w:rPr>
        <w:t>, we have the following proposals</w:t>
      </w:r>
      <w:r>
        <w:rPr>
          <w:rFonts w:hint="eastAsia" w:eastAsia="宋体"/>
          <w:bCs/>
          <w:sz w:val="21"/>
          <w:szCs w:val="21"/>
          <w:lang w:val="en-US" w:eastAsia="zh-CN"/>
        </w:rPr>
        <w:t xml:space="preserve"> </w:t>
      </w:r>
      <w:r>
        <w:rPr>
          <w:rFonts w:eastAsia="宋体"/>
          <w:bCs/>
          <w:sz w:val="21"/>
          <w:szCs w:val="21"/>
          <w:lang w:val="en-GB" w:eastAsia="zh-CN"/>
        </w:rPr>
        <w:t xml:space="preserve">for </w:t>
      </w:r>
      <w:r>
        <w:rPr>
          <w:rFonts w:hint="eastAsia" w:eastAsia="宋体"/>
          <w:bCs/>
          <w:sz w:val="21"/>
          <w:szCs w:val="21"/>
          <w:lang w:val="en-US" w:eastAsia="zh-CN"/>
        </w:rPr>
        <w:t>NCSG</w:t>
      </w:r>
      <w:r>
        <w:rPr>
          <w:rFonts w:eastAsia="宋体"/>
          <w:bCs/>
          <w:sz w:val="21"/>
          <w:szCs w:val="21"/>
          <w:lang w:val="en-GB" w:eastAsia="zh-CN"/>
        </w:rPr>
        <w:t>:</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sz w:val="21"/>
          <w:szCs w:val="21"/>
          <w:lang w:val="en-US" w:eastAsia="zh-CN"/>
        </w:rPr>
      </w:pPr>
      <w:r>
        <w:rPr>
          <w:rFonts w:eastAsia="宋体"/>
          <w:b/>
          <w:bCs/>
          <w:sz w:val="21"/>
          <w:szCs w:val="21"/>
          <w:lang w:val="en-GB" w:eastAsia="zh-CN"/>
        </w:rPr>
        <w:t>Proposal 1:</w:t>
      </w:r>
      <w:r>
        <w:rPr>
          <w:rFonts w:hint="eastAsia" w:eastAsia="宋体"/>
          <w:b/>
          <w:bCs/>
          <w:sz w:val="21"/>
          <w:szCs w:val="21"/>
          <w:lang w:val="en-US" w:eastAsia="zh-CN"/>
        </w:rPr>
        <w:t xml:space="preserve"> Intra-frequency measurements with MG, inter-frequency measurements with MG or inter-RAT measurements may use NCSG instead of MG when UE supports the corresponding band combination and has additional RF chains for measurements. </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2</w:t>
      </w:r>
      <w:r>
        <w:rPr>
          <w:rFonts w:hint="eastAsia" w:ascii="Times New Roman" w:hAnsi="Times New Roman" w:eastAsia="宋体" w:cs="Times New Roman"/>
          <w:b/>
          <w:bCs/>
          <w:sz w:val="21"/>
          <w:szCs w:val="21"/>
          <w:lang w:val="en-US" w:eastAsia="zh-CN" w:bidi="ar-SA"/>
        </w:rPr>
        <w:t>: Define NCSG patterns corresponding to legacy gap patterns with ID # 0 to ID #23.</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s="Times New Roman"/>
          <w:b/>
          <w:bCs/>
          <w:sz w:val="21"/>
          <w:szCs w:val="21"/>
          <w:lang w:val="en-US" w:eastAsia="zh-CN" w:bidi="ar-SA"/>
        </w:rPr>
      </w:pPr>
      <w:r>
        <w:rPr>
          <w:rFonts w:hint="eastAsia" w:eastAsia="宋体" w:cs="Times New Roman"/>
          <w:b/>
          <w:bCs/>
          <w:sz w:val="21"/>
          <w:szCs w:val="21"/>
          <w:lang w:val="en-US" w:eastAsia="zh-CN" w:bidi="ar-SA"/>
        </w:rPr>
        <w:t>Proposal 3: There is no need to separate NCSG patterns needed for synchronous and asynchronous operations.</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default" w:eastAsia="宋体"/>
          <w:b/>
          <w:bCs/>
          <w:sz w:val="21"/>
          <w:szCs w:val="21"/>
          <w:lang w:val="en-US" w:eastAsia="zh-CN"/>
        </w:rPr>
      </w:pPr>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4</w:t>
      </w:r>
      <w:r>
        <w:rPr>
          <w:rFonts w:hint="eastAsia" w:ascii="Times New Roman" w:hAnsi="Times New Roman" w:eastAsia="宋体" w:cs="Times New Roman"/>
          <w:b/>
          <w:bCs/>
          <w:sz w:val="21"/>
          <w:szCs w:val="21"/>
          <w:lang w:val="en-US" w:eastAsia="zh-CN" w:bidi="ar-SA"/>
        </w:rPr>
        <w:t xml:space="preserve">: NCSG capability </w:t>
      </w:r>
      <w:r>
        <w:rPr>
          <w:rFonts w:hint="eastAsia" w:eastAsia="宋体" w:cs="Times New Roman"/>
          <w:b/>
          <w:bCs/>
          <w:sz w:val="21"/>
          <w:szCs w:val="21"/>
          <w:lang w:val="en-US" w:eastAsia="zh-CN" w:bidi="ar-SA"/>
        </w:rPr>
        <w:t xml:space="preserve">can be </w:t>
      </w:r>
      <w:r>
        <w:rPr>
          <w:rFonts w:hint="eastAsia" w:ascii="Times New Roman" w:hAnsi="Times New Roman" w:eastAsia="宋体" w:cs="Times New Roman"/>
          <w:b/>
          <w:bCs/>
          <w:sz w:val="21"/>
          <w:szCs w:val="21"/>
          <w:lang w:val="en-US" w:eastAsia="zh-CN" w:bidi="ar-SA"/>
        </w:rPr>
        <w:t xml:space="preserve">reported on top of </w:t>
      </w:r>
      <w:r>
        <w:rPr>
          <w:rFonts w:hint="eastAsia" w:eastAsia="宋体" w:cs="Times New Roman"/>
          <w:b/>
          <w:bCs/>
          <w:sz w:val="21"/>
          <w:szCs w:val="21"/>
          <w:lang w:val="en-US" w:eastAsia="zh-CN" w:bidi="ar-SA"/>
        </w:rPr>
        <w:t xml:space="preserve">the </w:t>
      </w:r>
      <w:r>
        <w:rPr>
          <w:rFonts w:hint="eastAsia" w:ascii="Times New Roman" w:hAnsi="Times New Roman" w:eastAsia="宋体" w:cs="Times New Roman"/>
          <w:b/>
          <w:bCs/>
          <w:sz w:val="21"/>
          <w:szCs w:val="21"/>
          <w:lang w:val="en-US" w:eastAsia="zh-CN" w:bidi="ar-SA"/>
        </w:rPr>
        <w:t xml:space="preserve">existing </w:t>
      </w:r>
      <w:r>
        <w:rPr>
          <w:rFonts w:hint="default" w:eastAsia="宋体" w:cs="Times New Roman"/>
          <w:b/>
          <w:bCs/>
          <w:sz w:val="21"/>
          <w:szCs w:val="21"/>
          <w:lang w:val="en-US" w:eastAsia="zh-CN" w:bidi="ar-SA"/>
        </w:rPr>
        <w:t>‘</w:t>
      </w:r>
      <w:r>
        <w:rPr>
          <w:rFonts w:hint="eastAsia" w:ascii="Times New Roman" w:hAnsi="Times New Roman" w:eastAsia="宋体" w:cs="Times New Roman"/>
          <w:b/>
          <w:bCs/>
          <w:sz w:val="21"/>
          <w:szCs w:val="21"/>
          <w:lang w:val="en-US" w:eastAsia="zh-CN" w:bidi="ar-SA"/>
        </w:rPr>
        <w:t>NeedForGap</w:t>
      </w:r>
      <w:r>
        <w:rPr>
          <w:rFonts w:hint="default" w:eastAsia="宋体" w:cs="Times New Roman"/>
          <w:b/>
          <w:bCs/>
          <w:sz w:val="21"/>
          <w:szCs w:val="21"/>
          <w:lang w:val="en-US" w:eastAsia="zh-CN" w:bidi="ar-SA"/>
        </w:rPr>
        <w:t>’</w:t>
      </w:r>
      <w:r>
        <w:rPr>
          <w:rFonts w:hint="eastAsia" w:ascii="Times New Roman" w:hAnsi="Times New Roman" w:eastAsia="宋体" w:cs="Times New Roman"/>
          <w:b/>
          <w:bCs/>
          <w:sz w:val="21"/>
          <w:szCs w:val="21"/>
          <w:lang w:val="en-US" w:eastAsia="zh-CN" w:bidi="ar-SA"/>
        </w:rPr>
        <w:t xml:space="preserve"> signaling structure with a</w:t>
      </w:r>
      <w:r>
        <w:rPr>
          <w:rFonts w:hint="eastAsia" w:eastAsia="宋体" w:cs="Times New Roman"/>
          <w:b/>
          <w:bCs/>
          <w:sz w:val="21"/>
          <w:szCs w:val="21"/>
          <w:lang w:val="en-US" w:eastAsia="zh-CN" w:bidi="ar-SA"/>
        </w:rPr>
        <w:t>n</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 xml:space="preserve">additional </w:t>
      </w:r>
      <w:r>
        <w:rPr>
          <w:rFonts w:hint="eastAsia" w:ascii="Times New Roman" w:hAnsi="Times New Roman" w:eastAsia="宋体" w:cs="Times New Roman"/>
          <w:b/>
          <w:bCs/>
          <w:sz w:val="21"/>
          <w:szCs w:val="21"/>
          <w:lang w:val="en-US" w:eastAsia="zh-CN" w:bidi="ar-SA"/>
        </w:rPr>
        <w:t xml:space="preserve">component </w:t>
      </w:r>
      <w:r>
        <w:rPr>
          <w:rFonts w:hint="default" w:eastAsia="宋体" w:cs="Times New Roman"/>
          <w:b/>
          <w:bCs/>
          <w:sz w:val="21"/>
          <w:szCs w:val="21"/>
          <w:lang w:val="en-US" w:eastAsia="zh-CN" w:bidi="ar-SA"/>
        </w:rPr>
        <w:t>‘</w:t>
      </w:r>
      <w:r>
        <w:rPr>
          <w:rFonts w:hint="eastAsia" w:ascii="Times New Roman" w:hAnsi="Times New Roman" w:eastAsia="宋体" w:cs="Times New Roman"/>
          <w:b/>
          <w:bCs/>
          <w:sz w:val="21"/>
          <w:szCs w:val="21"/>
          <w:lang w:val="en-US" w:eastAsia="zh-CN" w:bidi="ar-SA"/>
        </w:rPr>
        <w:t>NCSG</w:t>
      </w:r>
      <w:r>
        <w:rPr>
          <w:rFonts w:hint="default" w:eastAsia="宋体" w:cs="Times New Roman"/>
          <w:b/>
          <w:bCs/>
          <w:sz w:val="21"/>
          <w:szCs w:val="21"/>
          <w:lang w:val="en-US" w:eastAsia="zh-CN" w:bidi="ar-SA"/>
        </w:rPr>
        <w:t>’</w:t>
      </w:r>
      <w:r>
        <w:rPr>
          <w:rFonts w:hint="eastAsia" w:ascii="Times New Roman" w:hAnsi="Times New Roman" w:eastAsia="宋体" w:cs="Times New Roman"/>
          <w:b/>
          <w:bCs/>
          <w:sz w:val="21"/>
          <w:szCs w:val="21"/>
          <w:lang w:val="en-US" w:eastAsia="zh-CN" w:bidi="ar-SA"/>
        </w:rPr>
        <w:t xml:space="preserve">. </w:t>
      </w:r>
      <w:bookmarkStart w:id="2" w:name="_GoBack"/>
      <w:bookmarkEnd w:id="2"/>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8"/>
        <w:rPr>
          <w:rFonts w:hint="default" w:eastAsia="宋体"/>
          <w:lang w:val="en-US" w:eastAsia="zh-CN"/>
        </w:rPr>
      </w:pPr>
      <w:r>
        <w:rPr>
          <w:rFonts w:hint="eastAsia"/>
          <w:lang w:val="en-US" w:eastAsia="zh-CN"/>
        </w:rPr>
        <w:t xml:space="preserve">R4-2105792, </w:t>
      </w:r>
      <w:r>
        <w:rPr>
          <w:rFonts w:hint="default"/>
          <w:lang w:val="en-US" w:eastAsia="zh-CN"/>
        </w:rPr>
        <w:t>“</w:t>
      </w:r>
      <w:r>
        <w:rPr>
          <w:rFonts w:hint="eastAsia"/>
          <w:lang w:val="en-US" w:eastAsia="zh-CN"/>
        </w:rPr>
        <w:t>WF on R17 NR MG enhancements–NCSG</w:t>
      </w:r>
      <w:r>
        <w:rPr>
          <w:rFonts w:hint="default"/>
          <w:lang w:val="en-US" w:eastAsia="zh-CN"/>
        </w:rPr>
        <w:t>”</w:t>
      </w:r>
      <w:r>
        <w:rPr>
          <w:rFonts w:hint="eastAsia"/>
          <w:lang w:val="en-US" w:eastAsia="zh-CN"/>
        </w:rPr>
        <w:t xml:space="preserve">, Intel, RAN4#98bis e-meeting. </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C2BED"/>
    <w:multiLevelType w:val="singleLevel"/>
    <w:tmpl w:val="8EBC2BED"/>
    <w:lvl w:ilvl="0" w:tentative="0">
      <w:start w:val="1"/>
      <w:numFmt w:val="bullet"/>
      <w:lvlText w:val=""/>
      <w:lvlJc w:val="left"/>
      <w:pPr>
        <w:tabs>
          <w:tab w:val="left" w:pos="420"/>
        </w:tabs>
        <w:ind w:left="840" w:hanging="420"/>
      </w:pPr>
      <w:rPr>
        <w:rFonts w:hint="default" w:ascii="Wingdings" w:hAnsi="Wingdings"/>
      </w:rPr>
    </w:lvl>
  </w:abstractNum>
  <w:abstractNum w:abstractNumId="1">
    <w:nsid w:val="97538576"/>
    <w:multiLevelType w:val="singleLevel"/>
    <w:tmpl w:val="97538576"/>
    <w:lvl w:ilvl="0" w:tentative="0">
      <w:start w:val="1"/>
      <w:numFmt w:val="bullet"/>
      <w:lvlText w:val=""/>
      <w:lvlJc w:val="left"/>
      <w:pPr>
        <w:tabs>
          <w:tab w:val="left" w:pos="-420"/>
        </w:tabs>
        <w:ind w:left="0" w:hanging="420"/>
      </w:pPr>
      <w:rPr>
        <w:rFonts w:hint="default" w:ascii="Wingdings" w:hAnsi="Wingdings"/>
      </w:rPr>
    </w:lvl>
  </w:abstractNum>
  <w:abstractNum w:abstractNumId="2">
    <w:nsid w:val="A1433CFE"/>
    <w:multiLevelType w:val="singleLevel"/>
    <w:tmpl w:val="A1433CFE"/>
    <w:lvl w:ilvl="0" w:tentative="0">
      <w:start w:val="1"/>
      <w:numFmt w:val="bullet"/>
      <w:lvlText w:val=""/>
      <w:lvlJc w:val="left"/>
      <w:pPr>
        <w:tabs>
          <w:tab w:val="left" w:pos="420"/>
        </w:tabs>
        <w:ind w:left="840" w:hanging="420"/>
      </w:pPr>
      <w:rPr>
        <w:rFonts w:hint="default" w:ascii="Wingdings" w:hAnsi="Wingdings"/>
      </w:rPr>
    </w:lvl>
  </w:abstractNum>
  <w:abstractNum w:abstractNumId="3">
    <w:nsid w:val="AC4FCE8D"/>
    <w:multiLevelType w:val="singleLevel"/>
    <w:tmpl w:val="AC4FCE8D"/>
    <w:lvl w:ilvl="0" w:tentative="0">
      <w:start w:val="1"/>
      <w:numFmt w:val="bullet"/>
      <w:lvlText w:val=""/>
      <w:lvlJc w:val="left"/>
      <w:pPr>
        <w:ind w:left="420" w:hanging="420"/>
      </w:pPr>
      <w:rPr>
        <w:rFonts w:hint="default" w:ascii="Wingdings" w:hAnsi="Wingdings"/>
      </w:rPr>
    </w:lvl>
  </w:abstractNum>
  <w:abstractNum w:abstractNumId="4">
    <w:nsid w:val="CDC289D5"/>
    <w:multiLevelType w:val="singleLevel"/>
    <w:tmpl w:val="CDC289D5"/>
    <w:lvl w:ilvl="0" w:tentative="0">
      <w:start w:val="1"/>
      <w:numFmt w:val="bullet"/>
      <w:lvlText w:val=""/>
      <w:lvlJc w:val="left"/>
      <w:pPr>
        <w:tabs>
          <w:tab w:val="left" w:pos="840"/>
        </w:tabs>
        <w:ind w:left="1260" w:hanging="420"/>
      </w:pPr>
      <w:rPr>
        <w:rFonts w:hint="default" w:ascii="Wingdings" w:hAnsi="Wingdings"/>
      </w:rPr>
    </w:lvl>
  </w:abstractNum>
  <w:abstractNum w:abstractNumId="5">
    <w:nsid w:val="D8391718"/>
    <w:multiLevelType w:val="singleLevel"/>
    <w:tmpl w:val="D8391718"/>
    <w:lvl w:ilvl="0" w:tentative="0">
      <w:start w:val="1"/>
      <w:numFmt w:val="bullet"/>
      <w:lvlText w:val=""/>
      <w:lvlJc w:val="left"/>
      <w:pPr>
        <w:tabs>
          <w:tab w:val="left" w:pos="-420"/>
        </w:tabs>
        <w:ind w:left="0" w:hanging="420"/>
      </w:pPr>
      <w:rPr>
        <w:rFonts w:hint="default" w:ascii="Wingdings" w:hAnsi="Wingdings"/>
      </w:rPr>
    </w:lvl>
  </w:abstractNum>
  <w:abstractNum w:abstractNumId="6">
    <w:nsid w:val="06946D3A"/>
    <w:multiLevelType w:val="multilevel"/>
    <w:tmpl w:val="06946D3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148A852"/>
    <w:multiLevelType w:val="multilevel"/>
    <w:tmpl w:val="4148A85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4D6E3167"/>
    <w:multiLevelType w:val="multilevel"/>
    <w:tmpl w:val="4D6E3167"/>
    <w:lvl w:ilvl="0" w:tentative="0">
      <w:start w:val="1"/>
      <w:numFmt w:val="decimal"/>
      <w:pStyle w:val="3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15785F5"/>
    <w:multiLevelType w:val="singleLevel"/>
    <w:tmpl w:val="515785F5"/>
    <w:lvl w:ilvl="0" w:tentative="0">
      <w:start w:val="1"/>
      <w:numFmt w:val="bullet"/>
      <w:lvlText w:val=""/>
      <w:lvlJc w:val="left"/>
      <w:pPr>
        <w:ind w:left="420" w:hanging="420"/>
      </w:pPr>
      <w:rPr>
        <w:rFonts w:hint="default" w:ascii="Wingdings" w:hAnsi="Wingdings"/>
      </w:rPr>
    </w:lvl>
  </w:abstractNum>
  <w:abstractNum w:abstractNumId="12">
    <w:nsid w:val="536B7086"/>
    <w:multiLevelType w:val="multilevel"/>
    <w:tmpl w:val="536B7086"/>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4B3FF50"/>
    <w:multiLevelType w:val="singleLevel"/>
    <w:tmpl w:val="54B3FF50"/>
    <w:lvl w:ilvl="0" w:tentative="0">
      <w:start w:val="1"/>
      <w:numFmt w:val="bullet"/>
      <w:lvlText w:val=""/>
      <w:lvlJc w:val="left"/>
      <w:pPr>
        <w:ind w:left="420" w:hanging="420"/>
      </w:pPr>
      <w:rPr>
        <w:rFonts w:hint="default" w:ascii="Wingdings" w:hAnsi="Wingdings"/>
      </w:rPr>
    </w:lvl>
  </w:abstractNum>
  <w:abstractNum w:abstractNumId="14">
    <w:nsid w:val="62AA704F"/>
    <w:multiLevelType w:val="singleLevel"/>
    <w:tmpl w:val="62AA704F"/>
    <w:lvl w:ilvl="0" w:tentative="0">
      <w:start w:val="1"/>
      <w:numFmt w:val="bullet"/>
      <w:lvlText w:val=""/>
      <w:lvlJc w:val="left"/>
      <w:pPr>
        <w:tabs>
          <w:tab w:val="left" w:pos="420"/>
        </w:tabs>
        <w:ind w:left="840" w:hanging="420"/>
      </w:pPr>
      <w:rPr>
        <w:rFonts w:hint="default" w:ascii="Wingdings" w:hAnsi="Wingdings"/>
      </w:rPr>
    </w:lvl>
  </w:abstractNum>
  <w:abstractNum w:abstractNumId="1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6">
    <w:nsid w:val="6C48A62A"/>
    <w:multiLevelType w:val="singleLevel"/>
    <w:tmpl w:val="6C48A62A"/>
    <w:lvl w:ilvl="0" w:tentative="0">
      <w:start w:val="1"/>
      <w:numFmt w:val="bullet"/>
      <w:lvlText w:val=""/>
      <w:lvlJc w:val="left"/>
      <w:pPr>
        <w:ind w:left="420" w:hanging="420"/>
      </w:pPr>
      <w:rPr>
        <w:rFonts w:hint="default" w:ascii="Wingdings" w:hAnsi="Wingdings"/>
      </w:rPr>
    </w:lvl>
  </w:abstractNum>
  <w:num w:numId="1">
    <w:abstractNumId w:val="15"/>
  </w:num>
  <w:num w:numId="2">
    <w:abstractNumId w:val="10"/>
  </w:num>
  <w:num w:numId="3">
    <w:abstractNumId w:val="7"/>
  </w:num>
  <w:num w:numId="4">
    <w:abstractNumId w:val="8"/>
  </w:num>
  <w:num w:numId="5">
    <w:abstractNumId w:val="14"/>
  </w:num>
  <w:num w:numId="6">
    <w:abstractNumId w:val="4"/>
  </w:num>
  <w:num w:numId="7">
    <w:abstractNumId w:val="16"/>
  </w:num>
  <w:num w:numId="8">
    <w:abstractNumId w:val="9"/>
  </w:num>
  <w:num w:numId="9">
    <w:abstractNumId w:val="12"/>
  </w:num>
  <w:num w:numId="10">
    <w:abstractNumId w:val="0"/>
  </w:num>
  <w:num w:numId="11">
    <w:abstractNumId w:val="6"/>
  </w:num>
  <w:num w:numId="12">
    <w:abstractNumId w:val="1"/>
  </w:num>
  <w:num w:numId="13">
    <w:abstractNumId w:val="5"/>
  </w:num>
  <w:num w:numId="14">
    <w:abstractNumId w:val="11"/>
  </w:num>
  <w:num w:numId="15">
    <w:abstractNumId w:val="2"/>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5C42923"/>
    <w:rsid w:val="07CD3CDD"/>
    <w:rsid w:val="0855671D"/>
    <w:rsid w:val="09716BCA"/>
    <w:rsid w:val="09E644B8"/>
    <w:rsid w:val="0BB0429A"/>
    <w:rsid w:val="148F5721"/>
    <w:rsid w:val="170F06AA"/>
    <w:rsid w:val="180A6E32"/>
    <w:rsid w:val="183F2CD2"/>
    <w:rsid w:val="18CD0507"/>
    <w:rsid w:val="1AD01A1B"/>
    <w:rsid w:val="1C177B08"/>
    <w:rsid w:val="1C9001C6"/>
    <w:rsid w:val="1CBA2101"/>
    <w:rsid w:val="1D223E0B"/>
    <w:rsid w:val="1E853F6F"/>
    <w:rsid w:val="1ECC1E3C"/>
    <w:rsid w:val="21F13629"/>
    <w:rsid w:val="24122135"/>
    <w:rsid w:val="26BB1419"/>
    <w:rsid w:val="2A7E505C"/>
    <w:rsid w:val="2BC05B2C"/>
    <w:rsid w:val="2BD617C5"/>
    <w:rsid w:val="2C112837"/>
    <w:rsid w:val="2F2F0FC8"/>
    <w:rsid w:val="31B14C9E"/>
    <w:rsid w:val="35B06C6A"/>
    <w:rsid w:val="36D37423"/>
    <w:rsid w:val="3A185287"/>
    <w:rsid w:val="3A692CD0"/>
    <w:rsid w:val="3B9A1F29"/>
    <w:rsid w:val="3CE4646B"/>
    <w:rsid w:val="3D5E7AA8"/>
    <w:rsid w:val="3D6F2596"/>
    <w:rsid w:val="40C765F3"/>
    <w:rsid w:val="42F869D2"/>
    <w:rsid w:val="451632B9"/>
    <w:rsid w:val="45F60A50"/>
    <w:rsid w:val="46B036BF"/>
    <w:rsid w:val="47282363"/>
    <w:rsid w:val="4C1C63D6"/>
    <w:rsid w:val="4E4A2325"/>
    <w:rsid w:val="501A6C55"/>
    <w:rsid w:val="51B14BED"/>
    <w:rsid w:val="525C1CEF"/>
    <w:rsid w:val="53C64B93"/>
    <w:rsid w:val="55B1164D"/>
    <w:rsid w:val="55B4735E"/>
    <w:rsid w:val="56371459"/>
    <w:rsid w:val="59DA647E"/>
    <w:rsid w:val="5EB44FC0"/>
    <w:rsid w:val="5FBA395F"/>
    <w:rsid w:val="635902CD"/>
    <w:rsid w:val="64F2095B"/>
    <w:rsid w:val="67A858DB"/>
    <w:rsid w:val="6DDE3DAF"/>
    <w:rsid w:val="715F4C2D"/>
    <w:rsid w:val="72BF60CA"/>
    <w:rsid w:val="753811DE"/>
    <w:rsid w:val="75C759C1"/>
    <w:rsid w:val="762D64F3"/>
    <w:rsid w:val="77C067C3"/>
    <w:rsid w:val="78911E31"/>
    <w:rsid w:val="7A9367CB"/>
    <w:rsid w:val="7AF22571"/>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3"/>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1"/>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6"/>
    <w:qFormat/>
    <w:uiPriority w:val="0"/>
    <w:rPr>
      <w:b/>
    </w:rPr>
  </w:style>
  <w:style w:type="paragraph" w:customStyle="1" w:styleId="32">
    <w:name w:val="TAC"/>
    <w:basedOn w:val="1"/>
    <w:link w:val="35"/>
    <w:qFormat/>
    <w:uiPriority w:val="0"/>
    <w:pPr>
      <w:keepNext/>
      <w:keepLines/>
      <w:jc w:val="center"/>
    </w:pPr>
    <w:rPr>
      <w:rFonts w:ascii="Arial" w:hAnsi="Arial" w:eastAsia="宋体"/>
      <w:sz w:val="18"/>
      <w:szCs w:val="20"/>
      <w:lang w:val="en-GB" w:eastAsia="zh-CN"/>
    </w:rPr>
  </w:style>
  <w:style w:type="paragraph" w:customStyle="1" w:styleId="33">
    <w:name w:val="TH"/>
    <w:basedOn w:val="1"/>
    <w:link w:val="34"/>
    <w:qFormat/>
    <w:uiPriority w:val="0"/>
    <w:pPr>
      <w:keepNext/>
      <w:keepLines/>
      <w:spacing w:before="60" w:after="180"/>
      <w:jc w:val="center"/>
    </w:pPr>
    <w:rPr>
      <w:rFonts w:ascii="Arial" w:hAnsi="Arial" w:eastAsia="宋体"/>
      <w:b/>
      <w:szCs w:val="20"/>
      <w:lang w:val="en-GB" w:eastAsia="zh-CN"/>
    </w:rPr>
  </w:style>
  <w:style w:type="character" w:customStyle="1" w:styleId="34">
    <w:name w:val="TH Char"/>
    <w:link w:val="33"/>
    <w:qFormat/>
    <w:uiPriority w:val="0"/>
    <w:rPr>
      <w:rFonts w:ascii="Arial" w:hAnsi="Arial" w:eastAsia="宋体"/>
      <w:b/>
      <w:lang w:val="en-GB" w:eastAsia="zh-CN"/>
    </w:rPr>
  </w:style>
  <w:style w:type="character" w:customStyle="1" w:styleId="35">
    <w:name w:val="TAC Char"/>
    <w:link w:val="32"/>
    <w:qFormat/>
    <w:uiPriority w:val="0"/>
    <w:rPr>
      <w:rFonts w:ascii="Arial" w:hAnsi="Arial" w:eastAsia="宋体"/>
      <w:sz w:val="18"/>
      <w:lang w:val="en-GB" w:eastAsia="zh-CN"/>
    </w:rPr>
  </w:style>
  <w:style w:type="character" w:customStyle="1" w:styleId="36">
    <w:name w:val="TAH Car"/>
    <w:link w:val="31"/>
    <w:qFormat/>
    <w:uiPriority w:val="0"/>
    <w:rPr>
      <w:rFonts w:ascii="Arial" w:hAnsi="Arial" w:eastAsia="宋体"/>
      <w:b/>
      <w:sz w:val="18"/>
      <w:lang w:val="en-GB" w:eastAsia="zh-CN"/>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8">
    <w:name w:val="TAR"/>
    <w:basedOn w:val="1"/>
    <w:qFormat/>
    <w:uiPriority w:val="0"/>
    <w:pPr>
      <w:keepNext/>
      <w:keepLines/>
      <w:jc w:val="right"/>
    </w:pPr>
    <w:rPr>
      <w:rFonts w:ascii="Arial" w:hAnsi="Arial" w:eastAsia="宋体"/>
      <w:sz w:val="18"/>
      <w:szCs w:val="20"/>
      <w:lang w:val="en-GB"/>
    </w:rPr>
  </w:style>
  <w:style w:type="paragraph" w:customStyle="1" w:styleId="39">
    <w:name w:val="RAN4 proposal"/>
    <w:basedOn w:val="6"/>
    <w:next w:val="1"/>
    <w:link w:val="40"/>
    <w:qFormat/>
    <w:uiPriority w:val="0"/>
    <w:pPr>
      <w:numPr>
        <w:ilvl w:val="0"/>
        <w:numId w:val="2"/>
      </w:numPr>
      <w:spacing w:after="200"/>
      <w:ind w:left="0" w:firstLine="0"/>
    </w:pPr>
    <w:rPr>
      <w:rFonts w:ascii="Times New Roman" w:hAnsi="Times New Roman" w:eastAsia="宋体"/>
      <w:b/>
      <w:iCs/>
      <w:szCs w:val="18"/>
    </w:rPr>
  </w:style>
  <w:style w:type="character" w:customStyle="1" w:styleId="40">
    <w:name w:val="RAN4 proposal Char"/>
    <w:link w:val="39"/>
    <w:qFormat/>
    <w:uiPriority w:val="0"/>
    <w:rPr>
      <w:rFonts w:ascii="Times New Roman" w:hAnsi="Times New Roman"/>
      <w:b/>
      <w:iCs/>
      <w:szCs w:val="18"/>
      <w:lang w:eastAsia="en-US"/>
    </w:rPr>
  </w:style>
  <w:style w:type="character" w:customStyle="1" w:styleId="41">
    <w:name w:val="List Paragraph Char"/>
    <w:link w:val="26"/>
    <w:qFormat/>
    <w:uiPriority w:val="34"/>
    <w:rPr>
      <w:kern w:val="2"/>
      <w:sz w:val="21"/>
      <w:szCs w:val="22"/>
    </w:rPr>
  </w:style>
  <w:style w:type="character" w:customStyle="1" w:styleId="42">
    <w:name w:val="ZGSM"/>
    <w:qFormat/>
    <w:uiPriority w:val="0"/>
  </w:style>
  <w:style w:type="character" w:customStyle="1" w:styleId="43">
    <w:name w:val="Date Char"/>
    <w:link w:val="10"/>
    <w:semiHidden/>
    <w:qFormat/>
    <w:uiPriority w:val="99"/>
    <w:rPr>
      <w:rFonts w:ascii="Times New Roman" w:hAnsi="Times New Roman" w:eastAsia="Times New Roman"/>
      <w:szCs w:val="24"/>
      <w:lang w:eastAsia="en-US"/>
    </w:rPr>
  </w:style>
  <w:style w:type="paragraph" w:customStyle="1" w:styleId="44">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5">
    <w:name w:val="TAL"/>
    <w:basedOn w:val="1"/>
    <w:link w:val="46"/>
    <w:qFormat/>
    <w:uiPriority w:val="0"/>
    <w:pPr>
      <w:keepNext/>
      <w:keepLines/>
    </w:pPr>
    <w:rPr>
      <w:rFonts w:ascii="Arial" w:hAnsi="Arial" w:eastAsia="宋体"/>
      <w:sz w:val="18"/>
      <w:szCs w:val="20"/>
      <w:lang w:val="en-GB"/>
    </w:rPr>
  </w:style>
  <w:style w:type="character" w:customStyle="1" w:styleId="46">
    <w:name w:val="TAL Char"/>
    <w:link w:val="45"/>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2021-05-11T08:07:26Z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